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3250A12F" w:rsidR="0080294B" w:rsidRPr="006A10AE" w:rsidRDefault="0080294B" w:rsidP="00037DF4">
      <w:pPr>
        <w:pStyle w:val="BodyText"/>
        <w:tabs>
          <w:tab w:val="left" w:pos="1843"/>
        </w:tabs>
        <w:rPr>
          <w:rFonts w:ascii="Calibri" w:hAnsi="Calibri" w:cs="Arial"/>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00717A6A" w:rsidRPr="00717A6A">
        <w:rPr>
          <w:rFonts w:ascii="Calibri" w:hAnsi="Calibri" w:cs="Arial"/>
          <w:b/>
          <w:sz w:val="24"/>
          <w:szCs w:val="24"/>
        </w:rPr>
        <w:sym w:font="Wingdings 2" w:char="F050"/>
      </w:r>
      <w:r w:rsidRPr="00717A6A">
        <w:rPr>
          <w:rFonts w:ascii="Calibri" w:hAnsi="Calibri" w:cs="Arial"/>
          <w:b/>
          <w:sz w:val="24"/>
          <w:szCs w:val="24"/>
        </w:rPr>
        <w:t xml:space="preserve">  </w:t>
      </w:r>
      <w:r w:rsidRPr="00717A6A">
        <w:rPr>
          <w:rFonts w:ascii="Calibri" w:hAnsi="Calibri" w:cs="Arial"/>
          <w:b/>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b/>
          <w:sz w:val="24"/>
          <w:szCs w:val="24"/>
        </w:rPr>
        <w:sym w:font="Wingdings 2" w:char="F050"/>
      </w:r>
      <w:r w:rsidRPr="006A10AE">
        <w:rPr>
          <w:rFonts w:ascii="Calibri" w:hAnsi="Calibri" w:cs="Arial"/>
          <w:sz w:val="24"/>
          <w:szCs w:val="24"/>
        </w:rPr>
        <w:t xml:space="preserve"> </w:t>
      </w:r>
      <w:r w:rsidRPr="00154D83">
        <w:rPr>
          <w:rFonts w:ascii="Calibri" w:hAnsi="Calibri" w:cs="Arial"/>
          <w:b/>
          <w:sz w:val="24"/>
          <w:szCs w:val="24"/>
        </w:rPr>
        <w:t>Input</w:t>
      </w:r>
    </w:p>
    <w:p w14:paraId="0BC79547" w14:textId="3B4F013D" w:rsidR="0080294B" w:rsidRPr="00154D83"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sz w:val="24"/>
          <w:szCs w:val="24"/>
        </w:rPr>
        <w:t xml:space="preserve">□  </w:t>
      </w:r>
      <w:r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007200A8"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063260">
        <w:rPr>
          <w:rFonts w:ascii="Calibri" w:hAnsi="Calibri"/>
        </w:rPr>
        <w:t>1.5 Review of Action Items</w:t>
      </w:r>
    </w:p>
    <w:p w14:paraId="01FC5420" w14:textId="25ACAB23"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7EA3D601" w:rsidR="00A34B6F" w:rsidRDefault="00D652C3" w:rsidP="003A4E95">
      <w:pPr>
        <w:pStyle w:val="Title"/>
        <w:rPr>
          <w:rFonts w:asciiTheme="minorHAnsi" w:hAnsiTheme="minorHAnsi"/>
          <w:color w:val="00558C"/>
        </w:rPr>
      </w:pPr>
      <w:r>
        <w:rPr>
          <w:rFonts w:asciiTheme="minorHAnsi" w:hAnsiTheme="minorHAnsi"/>
          <w:color w:val="00558C"/>
        </w:rPr>
        <w:t xml:space="preserve">Action items from </w:t>
      </w:r>
      <w:r w:rsidR="000430BA">
        <w:rPr>
          <w:rFonts w:asciiTheme="minorHAnsi" w:hAnsiTheme="minorHAnsi"/>
          <w:color w:val="00558C"/>
        </w:rPr>
        <w:t>All Committees</w:t>
      </w:r>
    </w:p>
    <w:p w14:paraId="6E55D308" w14:textId="2139C2EA" w:rsidR="000430BA" w:rsidRPr="003A4E95" w:rsidRDefault="000430BA" w:rsidP="000430BA">
      <w:pPr>
        <w:pStyle w:val="Heading1"/>
      </w:pPr>
      <w:r>
        <w:t>Action Items from Pap 36</w:t>
      </w:r>
    </w:p>
    <w:tbl>
      <w:tblPr>
        <w:tblStyle w:val="TableGrid"/>
        <w:tblW w:w="9913" w:type="dxa"/>
        <w:tblInd w:w="-5" w:type="dxa"/>
        <w:tblBorders>
          <w:top w:val="single" w:sz="4" w:space="0" w:color="00558C"/>
          <w:left w:val="single" w:sz="4" w:space="0" w:color="00558C"/>
          <w:bottom w:val="single" w:sz="4" w:space="0" w:color="00558C"/>
          <w:right w:val="single" w:sz="4" w:space="0" w:color="00558C"/>
          <w:insideH w:val="single" w:sz="4" w:space="0" w:color="00558C"/>
          <w:insideV w:val="single" w:sz="4" w:space="0" w:color="00558C"/>
        </w:tblBorders>
        <w:tblLook w:val="04A0" w:firstRow="1" w:lastRow="0" w:firstColumn="1" w:lastColumn="0" w:noHBand="0" w:noVBand="1"/>
      </w:tblPr>
      <w:tblGrid>
        <w:gridCol w:w="709"/>
        <w:gridCol w:w="6136"/>
        <w:gridCol w:w="3068"/>
      </w:tblGrid>
      <w:tr w:rsidR="00D652C3" w:rsidRPr="00D652C3" w14:paraId="08028BFD" w14:textId="77777777" w:rsidTr="00D652C3">
        <w:tc>
          <w:tcPr>
            <w:tcW w:w="709" w:type="dxa"/>
          </w:tcPr>
          <w:p w14:paraId="733463FF" w14:textId="161B48EC" w:rsidR="00D652C3" w:rsidRPr="00D652C3" w:rsidRDefault="00D652C3" w:rsidP="00D652C3">
            <w:pPr>
              <w:pStyle w:val="BodyText"/>
              <w:rPr>
                <w:b/>
                <w:color w:val="00558C"/>
              </w:rPr>
            </w:pPr>
            <w:bookmarkStart w:id="0" w:name="_Hlk342500"/>
            <w:r w:rsidRPr="00D652C3">
              <w:rPr>
                <w:b/>
                <w:color w:val="00558C"/>
              </w:rPr>
              <w:t>No.</w:t>
            </w:r>
          </w:p>
        </w:tc>
        <w:tc>
          <w:tcPr>
            <w:tcW w:w="6136" w:type="dxa"/>
          </w:tcPr>
          <w:p w14:paraId="3BED23F3" w14:textId="2FC94786" w:rsidR="00D652C3" w:rsidRPr="00D652C3" w:rsidRDefault="00D652C3" w:rsidP="00D652C3">
            <w:pPr>
              <w:pStyle w:val="BodyText"/>
              <w:rPr>
                <w:b/>
                <w:color w:val="00558C"/>
              </w:rPr>
            </w:pPr>
            <w:r w:rsidRPr="00D652C3">
              <w:rPr>
                <w:b/>
                <w:color w:val="00558C"/>
              </w:rPr>
              <w:t>Action tem</w:t>
            </w:r>
          </w:p>
        </w:tc>
        <w:tc>
          <w:tcPr>
            <w:tcW w:w="3068" w:type="dxa"/>
          </w:tcPr>
          <w:p w14:paraId="1388F3ED" w14:textId="57C9A596" w:rsidR="00D652C3" w:rsidRPr="00D652C3" w:rsidRDefault="00D652C3" w:rsidP="00D652C3">
            <w:pPr>
              <w:pStyle w:val="BodyText"/>
              <w:rPr>
                <w:b/>
                <w:color w:val="00558C"/>
              </w:rPr>
            </w:pPr>
            <w:r w:rsidRPr="00D652C3">
              <w:rPr>
                <w:b/>
                <w:color w:val="00558C"/>
              </w:rPr>
              <w:t>Status</w:t>
            </w:r>
          </w:p>
        </w:tc>
      </w:tr>
      <w:bookmarkEnd w:id="0"/>
      <w:tr w:rsidR="00BB7FF6" w14:paraId="65967A02" w14:textId="77777777" w:rsidTr="00D652C3">
        <w:tc>
          <w:tcPr>
            <w:tcW w:w="709" w:type="dxa"/>
          </w:tcPr>
          <w:p w14:paraId="7DAC5EFF" w14:textId="6EBEADD9" w:rsidR="00BB7FF6" w:rsidRDefault="00BB7FF6" w:rsidP="00BB7FF6">
            <w:pPr>
              <w:pStyle w:val="BodyText"/>
            </w:pPr>
            <w:r>
              <w:t>1</w:t>
            </w:r>
          </w:p>
        </w:tc>
        <w:tc>
          <w:tcPr>
            <w:tcW w:w="6136" w:type="dxa"/>
          </w:tcPr>
          <w:p w14:paraId="58C545E9" w14:textId="1E800949" w:rsidR="00BB7FF6" w:rsidRDefault="00BB7FF6" w:rsidP="00BB7FF6">
            <w:pPr>
              <w:pStyle w:val="BodyText"/>
            </w:pPr>
            <w:r>
              <w:t>The Secretariat is requested to forward output paper PAP36-13.1 – Position on the Development of Marine Aids to Navigation Services” to Council 68 for approval.</w:t>
            </w:r>
          </w:p>
        </w:tc>
        <w:tc>
          <w:tcPr>
            <w:tcW w:w="3068" w:type="dxa"/>
          </w:tcPr>
          <w:p w14:paraId="2317DD6E" w14:textId="3CD0619B" w:rsidR="00BB7FF6" w:rsidRDefault="00BB7FF6" w:rsidP="00BB7FF6">
            <w:pPr>
              <w:pStyle w:val="BodyText"/>
            </w:pPr>
            <w:r>
              <w:t>Complete – the document was forwarded to Council 68</w:t>
            </w:r>
          </w:p>
        </w:tc>
      </w:tr>
      <w:tr w:rsidR="000806F5" w14:paraId="57031988" w14:textId="77777777" w:rsidTr="00D652C3">
        <w:tc>
          <w:tcPr>
            <w:tcW w:w="709" w:type="dxa"/>
          </w:tcPr>
          <w:p w14:paraId="245D2400" w14:textId="2CF75172" w:rsidR="000806F5" w:rsidRDefault="000806F5" w:rsidP="000806F5">
            <w:pPr>
              <w:pStyle w:val="BodyText"/>
            </w:pPr>
            <w:r>
              <w:t>2</w:t>
            </w:r>
          </w:p>
        </w:tc>
        <w:tc>
          <w:tcPr>
            <w:tcW w:w="6136" w:type="dxa"/>
          </w:tcPr>
          <w:p w14:paraId="243AD963" w14:textId="30F102FF" w:rsidR="000806F5" w:rsidRDefault="000806F5" w:rsidP="000806F5">
            <w:pPr>
              <w:pStyle w:val="BodyText"/>
            </w:pPr>
            <w:r w:rsidRPr="003A6654">
              <w:t>The Secretariat should arrange to add the Baltic R-Mode testbed project to the IALA testbeds webpage using the template in Guideline G1107</w:t>
            </w:r>
            <w:r>
              <w:t>.</w:t>
            </w:r>
          </w:p>
        </w:tc>
        <w:tc>
          <w:tcPr>
            <w:tcW w:w="3068" w:type="dxa"/>
          </w:tcPr>
          <w:p w14:paraId="00B26616" w14:textId="6430BDF9" w:rsidR="000806F5" w:rsidRDefault="000806F5" w:rsidP="000806F5">
            <w:pPr>
              <w:pStyle w:val="BodyText"/>
            </w:pPr>
            <w:r>
              <w:t xml:space="preserve">Ongoing – Baltic R-Mode Test Bed </w:t>
            </w:r>
            <w:r>
              <w:t>Project Manager Contacted Twice – no reply has been received so far.</w:t>
            </w:r>
          </w:p>
        </w:tc>
      </w:tr>
      <w:tr w:rsidR="000806F5" w14:paraId="52DED9F9" w14:textId="77777777" w:rsidTr="00D652C3">
        <w:tc>
          <w:tcPr>
            <w:tcW w:w="709" w:type="dxa"/>
          </w:tcPr>
          <w:p w14:paraId="498F900F" w14:textId="4A5D1A0C" w:rsidR="000806F5" w:rsidRDefault="000806F5" w:rsidP="000806F5">
            <w:pPr>
              <w:pStyle w:val="BodyText"/>
            </w:pPr>
            <w:r>
              <w:t>3</w:t>
            </w:r>
          </w:p>
        </w:tc>
        <w:tc>
          <w:tcPr>
            <w:tcW w:w="6136" w:type="dxa"/>
          </w:tcPr>
          <w:p w14:paraId="2396694A" w14:textId="290CC36F" w:rsidR="000806F5" w:rsidRDefault="000806F5" w:rsidP="000806F5">
            <w:pPr>
              <w:pStyle w:val="BodyText"/>
            </w:pPr>
            <w:r>
              <w:t>The Secretariat should consider which information items may need to be moved to the unprotected area of the Website.</w:t>
            </w:r>
          </w:p>
        </w:tc>
        <w:tc>
          <w:tcPr>
            <w:tcW w:w="3068" w:type="dxa"/>
          </w:tcPr>
          <w:p w14:paraId="5C520D8E" w14:textId="07E41C98" w:rsidR="000806F5" w:rsidRDefault="000806F5" w:rsidP="000806F5">
            <w:pPr>
              <w:pStyle w:val="BodyText"/>
            </w:pPr>
            <w:r>
              <w:t>Complete</w:t>
            </w:r>
            <w:r w:rsidR="00AC2E72">
              <w:t xml:space="preserve"> </w:t>
            </w:r>
            <w:r>
              <w:t>– Secretariat has placed general and hotel information in the unprotected area.</w:t>
            </w:r>
          </w:p>
        </w:tc>
      </w:tr>
      <w:tr w:rsidR="000806F5" w14:paraId="327766ED" w14:textId="77777777" w:rsidTr="00D652C3">
        <w:tc>
          <w:tcPr>
            <w:tcW w:w="709" w:type="dxa"/>
          </w:tcPr>
          <w:p w14:paraId="2ECA6638" w14:textId="29B46EDC" w:rsidR="000806F5" w:rsidRDefault="000806F5" w:rsidP="000806F5">
            <w:pPr>
              <w:pStyle w:val="BodyText"/>
            </w:pPr>
            <w:r>
              <w:t>4</w:t>
            </w:r>
          </w:p>
        </w:tc>
        <w:tc>
          <w:tcPr>
            <w:tcW w:w="6136" w:type="dxa"/>
          </w:tcPr>
          <w:p w14:paraId="25C03FBF" w14:textId="69B24826" w:rsidR="000806F5" w:rsidRDefault="000806F5" w:rsidP="000806F5">
            <w:pPr>
              <w:pStyle w:val="BodyText"/>
            </w:pPr>
            <w:r>
              <w:t xml:space="preserve">IALA to </w:t>
            </w:r>
            <w:r w:rsidRPr="00133DCA">
              <w:rPr>
                <w:noProof/>
              </w:rPr>
              <w:t>make a proposal to</w:t>
            </w:r>
            <w:r>
              <w:t xml:space="preserve"> IHO </w:t>
            </w:r>
            <w:r w:rsidRPr="00133DCA">
              <w:rPr>
                <w:noProof/>
              </w:rPr>
              <w:t>with a view to</w:t>
            </w:r>
            <w:r>
              <w:t xml:space="preserve"> considering the replacement of traditional Notices to Mariners by additional information in S-125.</w:t>
            </w:r>
          </w:p>
        </w:tc>
        <w:tc>
          <w:tcPr>
            <w:tcW w:w="3068" w:type="dxa"/>
          </w:tcPr>
          <w:p w14:paraId="5B5A4E36" w14:textId="2DA262CA" w:rsidR="000806F5" w:rsidRDefault="000806F5" w:rsidP="000806F5">
            <w:pPr>
              <w:pStyle w:val="BodyText"/>
            </w:pPr>
            <w:r>
              <w:t xml:space="preserve">Ongoing – Dave </w:t>
            </w:r>
            <w:proofErr w:type="spellStart"/>
            <w:r>
              <w:t>Lewa</w:t>
            </w:r>
            <w:r>
              <w:t>l</w:t>
            </w:r>
            <w:r>
              <w:t>d</w:t>
            </w:r>
            <w:proofErr w:type="spellEnd"/>
            <w:r>
              <w:t xml:space="preserve">  </w:t>
            </w:r>
            <w:r>
              <w:t>is leading on this matter.</w:t>
            </w:r>
          </w:p>
        </w:tc>
      </w:tr>
      <w:tr w:rsidR="000806F5" w14:paraId="4A6F7018" w14:textId="77777777" w:rsidTr="00D652C3">
        <w:tc>
          <w:tcPr>
            <w:tcW w:w="709" w:type="dxa"/>
          </w:tcPr>
          <w:p w14:paraId="3C8ECD07" w14:textId="302C287A" w:rsidR="000806F5" w:rsidRDefault="000806F5" w:rsidP="000806F5">
            <w:pPr>
              <w:pStyle w:val="BodyText"/>
            </w:pPr>
            <w:r>
              <w:t>5</w:t>
            </w:r>
          </w:p>
        </w:tc>
        <w:tc>
          <w:tcPr>
            <w:tcW w:w="6136" w:type="dxa"/>
          </w:tcPr>
          <w:p w14:paraId="4D5C538B" w14:textId="7786B6F0" w:rsidR="000806F5" w:rsidRDefault="000806F5" w:rsidP="000806F5">
            <w:pPr>
              <w:pStyle w:val="BodyText"/>
            </w:pPr>
            <w:r>
              <w:t xml:space="preserve">Dave </w:t>
            </w:r>
            <w:proofErr w:type="spellStart"/>
            <w:r>
              <w:t>Lewald</w:t>
            </w:r>
            <w:proofErr w:type="spellEnd"/>
            <w:r>
              <w:t xml:space="preserve"> to represent IALA at S-125 and NIPWG meetings, and </w:t>
            </w:r>
            <w:proofErr w:type="spellStart"/>
            <w:r>
              <w:t>Guttorm</w:t>
            </w:r>
            <w:proofErr w:type="spellEnd"/>
            <w:r>
              <w:t xml:space="preserve"> </w:t>
            </w:r>
            <w:proofErr w:type="spellStart"/>
            <w:r>
              <w:t>Tomren</w:t>
            </w:r>
            <w:proofErr w:type="spellEnd"/>
            <w:r>
              <w:t xml:space="preserve"> at other relevant IHO working group meetings.</w:t>
            </w:r>
          </w:p>
        </w:tc>
        <w:tc>
          <w:tcPr>
            <w:tcW w:w="3068" w:type="dxa"/>
          </w:tcPr>
          <w:p w14:paraId="69FDD8B4" w14:textId="2BEBB46E" w:rsidR="000806F5" w:rsidRDefault="000806F5" w:rsidP="000806F5">
            <w:pPr>
              <w:pStyle w:val="BodyText"/>
            </w:pPr>
            <w:r>
              <w:t>Complete</w:t>
            </w:r>
          </w:p>
        </w:tc>
      </w:tr>
      <w:tr w:rsidR="000806F5" w14:paraId="211C54D8" w14:textId="77777777" w:rsidTr="00D652C3">
        <w:tc>
          <w:tcPr>
            <w:tcW w:w="709" w:type="dxa"/>
          </w:tcPr>
          <w:p w14:paraId="43468498" w14:textId="56EFB2CA" w:rsidR="000806F5" w:rsidRDefault="000806F5" w:rsidP="000806F5">
            <w:pPr>
              <w:pStyle w:val="BodyText"/>
            </w:pPr>
            <w:r>
              <w:t>6</w:t>
            </w:r>
          </w:p>
        </w:tc>
        <w:tc>
          <w:tcPr>
            <w:tcW w:w="6136" w:type="dxa"/>
          </w:tcPr>
          <w:p w14:paraId="03599D27" w14:textId="06250CED" w:rsidR="000806F5" w:rsidRDefault="000806F5" w:rsidP="000806F5">
            <w:pPr>
              <w:pStyle w:val="BodyText"/>
            </w:pPr>
            <w:r>
              <w:t xml:space="preserve">The IALA Secretariat should cooperate with Korea and plan to upload the S-200 testbed plan on the test bed section of Website, when available and agreed by the </w:t>
            </w:r>
            <w:r w:rsidRPr="00133DCA">
              <w:rPr>
                <w:noProof/>
              </w:rPr>
              <w:t>ARM</w:t>
            </w:r>
            <w:r>
              <w:t xml:space="preserve"> Committee.</w:t>
            </w:r>
          </w:p>
        </w:tc>
        <w:tc>
          <w:tcPr>
            <w:tcW w:w="3068" w:type="dxa"/>
          </w:tcPr>
          <w:p w14:paraId="1FEEA428" w14:textId="5CC7E897" w:rsidR="000806F5" w:rsidRDefault="000806F5" w:rsidP="000806F5">
            <w:pPr>
              <w:pStyle w:val="BodyText"/>
            </w:pPr>
            <w:r>
              <w:t>Ongoing</w:t>
            </w:r>
            <w:r w:rsidRPr="516A2C2D">
              <w:rPr>
                <w:rFonts w:eastAsia="Times New Roman" w:cs="Times New Roman"/>
                <w:color w:val="000000" w:themeColor="text1"/>
              </w:rPr>
              <w:t xml:space="preserve"> - Minsu contacts Korea to update</w:t>
            </w:r>
            <w:r>
              <w:rPr>
                <w:rFonts w:eastAsia="Times New Roman" w:cs="Times New Roman"/>
                <w:color w:val="000000" w:themeColor="text1"/>
              </w:rPr>
              <w:t xml:space="preserve"> </w:t>
            </w:r>
            <w:r w:rsidRPr="516A2C2D">
              <w:rPr>
                <w:rFonts w:eastAsia="Times New Roman" w:cs="Times New Roman"/>
                <w:color w:val="000000" w:themeColor="text1"/>
              </w:rPr>
              <w:t>ARM 9</w:t>
            </w:r>
            <w:r>
              <w:rPr>
                <w:rFonts w:eastAsia="Times New Roman" w:cs="Times New Roman"/>
                <w:color w:val="000000" w:themeColor="text1"/>
              </w:rPr>
              <w:t>.</w:t>
            </w:r>
          </w:p>
        </w:tc>
      </w:tr>
      <w:tr w:rsidR="000806F5" w14:paraId="0BBC87DC" w14:textId="77777777" w:rsidTr="00D652C3">
        <w:tc>
          <w:tcPr>
            <w:tcW w:w="709" w:type="dxa"/>
          </w:tcPr>
          <w:p w14:paraId="5E65FC68" w14:textId="5AB4B127" w:rsidR="000806F5" w:rsidRDefault="000806F5" w:rsidP="000806F5">
            <w:pPr>
              <w:pStyle w:val="BodyText"/>
            </w:pPr>
            <w:r>
              <w:t>7</w:t>
            </w:r>
          </w:p>
        </w:tc>
        <w:tc>
          <w:tcPr>
            <w:tcW w:w="6136" w:type="dxa"/>
          </w:tcPr>
          <w:p w14:paraId="0990FCE6" w14:textId="566D9DC3" w:rsidR="000806F5" w:rsidRDefault="000806F5" w:rsidP="000806F5">
            <w:pPr>
              <w:pStyle w:val="BodyText"/>
            </w:pPr>
            <w:r>
              <w:t>The Secretariat should work on a submission process for MRN and develop guidelines on how to register for the relevant Committee (ARM and ENAV).</w:t>
            </w:r>
          </w:p>
        </w:tc>
        <w:tc>
          <w:tcPr>
            <w:tcW w:w="3068" w:type="dxa"/>
          </w:tcPr>
          <w:p w14:paraId="1A42B23D" w14:textId="72705C5F" w:rsidR="000806F5" w:rsidRDefault="00AC2E72" w:rsidP="000806F5">
            <w:pPr>
              <w:pStyle w:val="BodyText"/>
            </w:pPr>
            <w:r>
              <w:t>Ongoing</w:t>
            </w:r>
          </w:p>
        </w:tc>
      </w:tr>
      <w:tr w:rsidR="000806F5" w14:paraId="137C914F" w14:textId="77777777" w:rsidTr="00D652C3">
        <w:tc>
          <w:tcPr>
            <w:tcW w:w="709" w:type="dxa"/>
          </w:tcPr>
          <w:p w14:paraId="23055E25" w14:textId="2CDF32E8" w:rsidR="000806F5" w:rsidRDefault="000806F5" w:rsidP="000806F5">
            <w:pPr>
              <w:pStyle w:val="BodyText"/>
            </w:pPr>
            <w:r>
              <w:t>8</w:t>
            </w:r>
          </w:p>
        </w:tc>
        <w:tc>
          <w:tcPr>
            <w:tcW w:w="6136" w:type="dxa"/>
          </w:tcPr>
          <w:p w14:paraId="1FF96DFD" w14:textId="464A2E7C" w:rsidR="000806F5" w:rsidRDefault="000806F5" w:rsidP="000806F5">
            <w:pPr>
              <w:pStyle w:val="BodyText"/>
            </w:pPr>
            <w:r>
              <w:t>The Secretariat to submit PAP36-7.3.1 to ENAV22 as an input document.</w:t>
            </w:r>
          </w:p>
        </w:tc>
        <w:tc>
          <w:tcPr>
            <w:tcW w:w="3068" w:type="dxa"/>
          </w:tcPr>
          <w:p w14:paraId="46D52232" w14:textId="77777777" w:rsidR="000806F5" w:rsidRDefault="000806F5" w:rsidP="000806F5">
            <w:pPr>
              <w:pStyle w:val="BodyText"/>
              <w:rPr>
                <w:lang w:eastAsia="de-DE"/>
              </w:rPr>
            </w:pPr>
            <w:r>
              <w:t>Complete – From E-Nav 22 – ‘</w:t>
            </w:r>
            <w:r>
              <w:rPr>
                <w:lang w:eastAsia="de-DE"/>
              </w:rPr>
              <w:t>With reference to ENAV22-10.3.4 (</w:t>
            </w:r>
            <w:r>
              <w:rPr>
                <w:rFonts w:cs="Arial"/>
                <w:color w:val="000000"/>
                <w:lang w:val="en-US" w:eastAsia="nl-NL"/>
              </w:rPr>
              <w:t>The progress of VDES and the influence of AIS and mandatory carriage)</w:t>
            </w:r>
            <w:r>
              <w:rPr>
                <w:lang w:eastAsia="de-DE"/>
              </w:rPr>
              <w:t xml:space="preserve">, the Committee recommends that IALA take note of its content and raise awareness of the </w:t>
            </w:r>
            <w:r>
              <w:rPr>
                <w:lang w:eastAsia="de-DE"/>
              </w:rPr>
              <w:lastRenderedPageBreak/>
              <w:t>contents of IMO Circular SN.1/289.’</w:t>
            </w:r>
          </w:p>
          <w:p w14:paraId="3EFD38E5" w14:textId="77777777" w:rsidR="000806F5" w:rsidRDefault="000806F5" w:rsidP="000806F5">
            <w:pPr>
              <w:pStyle w:val="BodyText"/>
            </w:pPr>
          </w:p>
        </w:tc>
      </w:tr>
      <w:tr w:rsidR="00AC2E72" w14:paraId="5BD5EA43" w14:textId="77777777" w:rsidTr="00D652C3">
        <w:tc>
          <w:tcPr>
            <w:tcW w:w="709" w:type="dxa"/>
          </w:tcPr>
          <w:p w14:paraId="4C138167" w14:textId="3888E5A8" w:rsidR="00AC2E72" w:rsidRDefault="00AC2E72" w:rsidP="00AC2E72">
            <w:pPr>
              <w:pStyle w:val="BodyText"/>
            </w:pPr>
            <w:r>
              <w:lastRenderedPageBreak/>
              <w:t>9</w:t>
            </w:r>
          </w:p>
        </w:tc>
        <w:tc>
          <w:tcPr>
            <w:tcW w:w="6136" w:type="dxa"/>
          </w:tcPr>
          <w:p w14:paraId="23583026" w14:textId="26E6336D" w:rsidR="00AC2E72" w:rsidRDefault="00AC2E72" w:rsidP="00AC2E72">
            <w:pPr>
              <w:pStyle w:val="BodyText"/>
            </w:pPr>
            <w:r>
              <w:t>The Secretary-General should discuss with 3GPP for IALA being a Market Representation Partner (MRP) for the coastal States, and consider if the Industrial members should be involved.</w:t>
            </w:r>
          </w:p>
        </w:tc>
        <w:tc>
          <w:tcPr>
            <w:tcW w:w="3068" w:type="dxa"/>
          </w:tcPr>
          <w:p w14:paraId="093BF295" w14:textId="4D37D9AD" w:rsidR="00AC2E72" w:rsidRDefault="00AC2E72" w:rsidP="00AC2E72">
            <w:pPr>
              <w:pStyle w:val="BodyText"/>
            </w:pPr>
            <w:r>
              <w:t xml:space="preserve">Complete – IALA will not join MRP, but maintain contact with 3GPP. </w:t>
            </w:r>
          </w:p>
        </w:tc>
      </w:tr>
      <w:tr w:rsidR="00AC2E72" w14:paraId="31073575" w14:textId="77777777" w:rsidTr="00D652C3">
        <w:tc>
          <w:tcPr>
            <w:tcW w:w="709" w:type="dxa"/>
          </w:tcPr>
          <w:p w14:paraId="5B149869" w14:textId="7C9A9494" w:rsidR="00AC2E72" w:rsidRDefault="00AC2E72" w:rsidP="00AC2E72">
            <w:pPr>
              <w:pStyle w:val="BodyText"/>
            </w:pPr>
            <w:r>
              <w:t>10</w:t>
            </w:r>
          </w:p>
        </w:tc>
        <w:tc>
          <w:tcPr>
            <w:tcW w:w="6136" w:type="dxa"/>
          </w:tcPr>
          <w:p w14:paraId="4027D507" w14:textId="684F910C" w:rsidR="00AC2E72" w:rsidRDefault="00AC2E72" w:rsidP="00AC2E72">
            <w:pPr>
              <w:pStyle w:val="BodyText"/>
            </w:pPr>
            <w:r>
              <w:t>The ENAV Committee secretary should plan for a presentation slot on 3GPP during a plenary session of ENAV22.</w:t>
            </w:r>
          </w:p>
        </w:tc>
        <w:tc>
          <w:tcPr>
            <w:tcW w:w="3068" w:type="dxa"/>
          </w:tcPr>
          <w:p w14:paraId="53244210" w14:textId="798DA6B0" w:rsidR="00AC2E72" w:rsidRDefault="00AC2E72" w:rsidP="00AC2E72">
            <w:pPr>
              <w:pStyle w:val="BodyText"/>
            </w:pPr>
            <w:r>
              <w:t xml:space="preserve">Complete – </w:t>
            </w:r>
            <w:r>
              <w:rPr>
                <w:lang w:eastAsia="de-DE"/>
              </w:rPr>
              <w:t>The Committee also received a presentation from the visiting 3GPP officials (John Meredith) and explored matters of common interest. The presentations given to WG3 are ENAV22-10.3.7 and ENAV22-10.3.8.</w:t>
            </w:r>
          </w:p>
        </w:tc>
      </w:tr>
      <w:tr w:rsidR="00AC2E72" w14:paraId="145DECC2" w14:textId="77777777" w:rsidTr="00D652C3">
        <w:tc>
          <w:tcPr>
            <w:tcW w:w="709" w:type="dxa"/>
          </w:tcPr>
          <w:p w14:paraId="3DCCBFBE" w14:textId="7250889E" w:rsidR="00AC2E72" w:rsidRDefault="00AC2E72" w:rsidP="00AC2E72">
            <w:pPr>
              <w:pStyle w:val="BodyText"/>
            </w:pPr>
            <w:r>
              <w:t>11</w:t>
            </w:r>
          </w:p>
        </w:tc>
        <w:tc>
          <w:tcPr>
            <w:tcW w:w="6136" w:type="dxa"/>
          </w:tcPr>
          <w:p w14:paraId="72E4A11B" w14:textId="4F7C58E4" w:rsidR="00AC2E72" w:rsidRDefault="00AC2E72" w:rsidP="00AC2E72">
            <w:pPr>
              <w:pStyle w:val="BodyText"/>
            </w:pPr>
            <w:r>
              <w:t xml:space="preserve">The ENAV Committee should propose a global view on the ways to disseminate maritime safety information, not going into technical details of MCP or 3GPP for example, with a conclusion on what is needed in terms of maritime safety information and </w:t>
            </w:r>
            <w:proofErr w:type="spellStart"/>
            <w:r>
              <w:t>AtoN</w:t>
            </w:r>
            <w:proofErr w:type="spellEnd"/>
            <w:r>
              <w:t xml:space="preserve"> information.</w:t>
            </w:r>
          </w:p>
        </w:tc>
        <w:tc>
          <w:tcPr>
            <w:tcW w:w="3068" w:type="dxa"/>
          </w:tcPr>
          <w:p w14:paraId="480574C8" w14:textId="0AEA7CA8" w:rsidR="00AC2E72" w:rsidRDefault="00AC2E72" w:rsidP="00AC2E72">
            <w:pPr>
              <w:pStyle w:val="BodyText"/>
            </w:pPr>
            <w:r>
              <w:t xml:space="preserve">Ongoing – work </w:t>
            </w:r>
            <w:r w:rsidR="009D1E1A">
              <w:t xml:space="preserve">to be continued </w:t>
            </w:r>
            <w:r>
              <w:t xml:space="preserve">in the e-Nav Committee, in the report </w:t>
            </w:r>
            <w:r w:rsidR="009D1E1A">
              <w:t xml:space="preserve">from the last Committee </w:t>
            </w:r>
            <w:r>
              <w:t>there is reference to a joint workshop with 3GPP</w:t>
            </w:r>
            <w:r w:rsidR="0022401E">
              <w:t>.</w:t>
            </w:r>
          </w:p>
        </w:tc>
      </w:tr>
      <w:tr w:rsidR="00AC2E72" w14:paraId="017E837D" w14:textId="77777777" w:rsidTr="00D652C3">
        <w:tc>
          <w:tcPr>
            <w:tcW w:w="709" w:type="dxa"/>
          </w:tcPr>
          <w:p w14:paraId="2D08DCA2" w14:textId="6D870309" w:rsidR="00AC2E72" w:rsidRDefault="00AC2E72" w:rsidP="00AC2E72">
            <w:pPr>
              <w:pStyle w:val="BodyText"/>
            </w:pPr>
            <w:r>
              <w:t>12</w:t>
            </w:r>
          </w:p>
        </w:tc>
        <w:tc>
          <w:tcPr>
            <w:tcW w:w="6136" w:type="dxa"/>
          </w:tcPr>
          <w:p w14:paraId="480506C5" w14:textId="706B135E" w:rsidR="00AC2E72" w:rsidRDefault="00AC2E72" w:rsidP="00AC2E72">
            <w:pPr>
              <w:pStyle w:val="BodyText"/>
            </w:pPr>
            <w:r>
              <w:t xml:space="preserve">The ENAV Committee should also prepare a discussion paper for PAP37 on the ways to disseminate </w:t>
            </w:r>
            <w:proofErr w:type="spellStart"/>
            <w:r>
              <w:t>AtoN</w:t>
            </w:r>
            <w:proofErr w:type="spellEnd"/>
            <w:r>
              <w:t xml:space="preserve"> information.</w:t>
            </w:r>
          </w:p>
        </w:tc>
        <w:tc>
          <w:tcPr>
            <w:tcW w:w="3068" w:type="dxa"/>
          </w:tcPr>
          <w:p w14:paraId="03E19E31" w14:textId="19ACB836" w:rsidR="00AC2E72" w:rsidRDefault="00A425FE" w:rsidP="00AC2E72">
            <w:pPr>
              <w:pStyle w:val="BodyText"/>
            </w:pPr>
            <w:r>
              <w:t>Nothing received</w:t>
            </w:r>
            <w:bookmarkStart w:id="1" w:name="_GoBack"/>
            <w:bookmarkEnd w:id="1"/>
          </w:p>
        </w:tc>
      </w:tr>
      <w:tr w:rsidR="00AC2E72" w14:paraId="2EB8DC01" w14:textId="77777777" w:rsidTr="00D652C3">
        <w:tc>
          <w:tcPr>
            <w:tcW w:w="709" w:type="dxa"/>
          </w:tcPr>
          <w:p w14:paraId="2F4D0D1C" w14:textId="04DCE623" w:rsidR="00AC2E72" w:rsidRDefault="00AC2E72" w:rsidP="00AC2E72">
            <w:pPr>
              <w:pStyle w:val="BodyText"/>
            </w:pPr>
            <w:r>
              <w:t>13</w:t>
            </w:r>
          </w:p>
        </w:tc>
        <w:tc>
          <w:tcPr>
            <w:tcW w:w="6136" w:type="dxa"/>
          </w:tcPr>
          <w:p w14:paraId="39FCB6C6" w14:textId="56D2F69B" w:rsidR="00AC2E72" w:rsidRDefault="00AC2E72" w:rsidP="00AC2E72">
            <w:pPr>
              <w:pStyle w:val="BodyText"/>
            </w:pPr>
            <w:r>
              <w:t>The Secretariat should try and get tentative dates for NCSR7 from IMO.</w:t>
            </w:r>
          </w:p>
        </w:tc>
        <w:tc>
          <w:tcPr>
            <w:tcW w:w="3068" w:type="dxa"/>
          </w:tcPr>
          <w:p w14:paraId="2EFCAE56" w14:textId="39D50EE0" w:rsidR="00AC2E72" w:rsidRDefault="00AC2E72" w:rsidP="00AC2E72">
            <w:pPr>
              <w:pStyle w:val="BodyText"/>
            </w:pPr>
            <w:r>
              <w:t>Complete - January 15-24 2020</w:t>
            </w:r>
          </w:p>
        </w:tc>
      </w:tr>
      <w:tr w:rsidR="00AC2E72" w14:paraId="1AFDE2E7" w14:textId="77777777" w:rsidTr="00D652C3">
        <w:tc>
          <w:tcPr>
            <w:tcW w:w="709" w:type="dxa"/>
          </w:tcPr>
          <w:p w14:paraId="6355EC43" w14:textId="18F67B82" w:rsidR="00AC2E72" w:rsidRDefault="00AC2E72" w:rsidP="00AC2E72">
            <w:pPr>
              <w:pStyle w:val="BodyText"/>
            </w:pPr>
            <w:r>
              <w:t>14</w:t>
            </w:r>
          </w:p>
        </w:tc>
        <w:tc>
          <w:tcPr>
            <w:tcW w:w="6136" w:type="dxa"/>
          </w:tcPr>
          <w:p w14:paraId="7255A5B9" w14:textId="764B8314" w:rsidR="00AC2E72" w:rsidRDefault="00AC2E72" w:rsidP="00AC2E72">
            <w:pPr>
              <w:pStyle w:val="BodyText"/>
            </w:pPr>
            <w:r>
              <w:t>The VTS Committee should forward the draft revision of IMO Resolution A.857(20) to LAP19 to consider the legal aspects that could be affected as well.</w:t>
            </w:r>
          </w:p>
        </w:tc>
        <w:tc>
          <w:tcPr>
            <w:tcW w:w="3068" w:type="dxa"/>
          </w:tcPr>
          <w:p w14:paraId="3DA869B0" w14:textId="2A6ED846" w:rsidR="00AC2E72" w:rsidRDefault="00AC2E72" w:rsidP="00AC2E72">
            <w:pPr>
              <w:pStyle w:val="BodyText"/>
            </w:pPr>
            <w:r>
              <w:t xml:space="preserve">Ongoing - LAP 19 is scheduled 16-17 April </w:t>
            </w:r>
          </w:p>
          <w:p w14:paraId="5AC38CD0" w14:textId="6065F3B7" w:rsidR="00AC2E72" w:rsidRDefault="00AC2E72" w:rsidP="00AC2E72">
            <w:pPr>
              <w:pStyle w:val="BodyText"/>
            </w:pPr>
            <w:r>
              <w:t>VTS 46 will meet before LAP 19 and should forward the latest document.</w:t>
            </w:r>
          </w:p>
        </w:tc>
      </w:tr>
      <w:tr w:rsidR="00AC2E72" w14:paraId="5AF56228" w14:textId="77777777" w:rsidTr="00D652C3">
        <w:tc>
          <w:tcPr>
            <w:tcW w:w="709" w:type="dxa"/>
          </w:tcPr>
          <w:p w14:paraId="4EEC7F7D" w14:textId="12C3858E" w:rsidR="00AC2E72" w:rsidRDefault="00AC2E72" w:rsidP="00AC2E72">
            <w:pPr>
              <w:pStyle w:val="BodyText"/>
            </w:pPr>
            <w:r>
              <w:t>15</w:t>
            </w:r>
          </w:p>
        </w:tc>
        <w:tc>
          <w:tcPr>
            <w:tcW w:w="6136" w:type="dxa"/>
          </w:tcPr>
          <w:p w14:paraId="61E3BE64" w14:textId="49F09040" w:rsidR="00AC2E72" w:rsidRDefault="00AC2E72" w:rsidP="00AC2E72">
            <w:pPr>
              <w:pStyle w:val="BodyText"/>
            </w:pPr>
            <w:r>
              <w:t>LAP19 should update the current dictionary disclaimer in view of the three languages.</w:t>
            </w:r>
          </w:p>
        </w:tc>
        <w:tc>
          <w:tcPr>
            <w:tcW w:w="3068" w:type="dxa"/>
          </w:tcPr>
          <w:p w14:paraId="790BF650" w14:textId="67B0BA60" w:rsidR="00AC2E72" w:rsidRDefault="00AC2E72" w:rsidP="00AC2E72">
            <w:pPr>
              <w:pStyle w:val="BodyText"/>
            </w:pPr>
            <w:r>
              <w:t>Ongoing - LAP 19 is scheduled 16-17 April</w:t>
            </w:r>
          </w:p>
        </w:tc>
      </w:tr>
      <w:tr w:rsidR="00AC2E72" w14:paraId="3111A409" w14:textId="77777777" w:rsidTr="00D652C3">
        <w:tc>
          <w:tcPr>
            <w:tcW w:w="709" w:type="dxa"/>
          </w:tcPr>
          <w:p w14:paraId="19232598" w14:textId="0CCEA911" w:rsidR="00AC2E72" w:rsidRDefault="00AC2E72" w:rsidP="00AC2E72">
            <w:pPr>
              <w:pStyle w:val="BodyText"/>
            </w:pPr>
            <w:r>
              <w:t>16</w:t>
            </w:r>
          </w:p>
        </w:tc>
        <w:tc>
          <w:tcPr>
            <w:tcW w:w="6136" w:type="dxa"/>
          </w:tcPr>
          <w:p w14:paraId="7465ECE4" w14:textId="2CDAB600" w:rsidR="00AC2E72" w:rsidRDefault="00AC2E72" w:rsidP="00AC2E72">
            <w:pPr>
              <w:pStyle w:val="BodyText"/>
            </w:pPr>
            <w:r w:rsidRPr="0019166C">
              <w:t xml:space="preserve">The Secretariat should update the dictionary as </w:t>
            </w:r>
            <w:r>
              <w:t xml:space="preserve">an </w:t>
            </w:r>
            <w:r w:rsidRPr="0019166C">
              <w:t>index</w:t>
            </w:r>
            <w:r>
              <w:t xml:space="preserve"> and add the disclaimer to the main page following LAP19</w:t>
            </w:r>
            <w:r w:rsidRPr="00841976">
              <w:rPr>
                <w:lang w:val="en-US"/>
              </w:rPr>
              <w:t>.</w:t>
            </w:r>
          </w:p>
        </w:tc>
        <w:tc>
          <w:tcPr>
            <w:tcW w:w="3068" w:type="dxa"/>
          </w:tcPr>
          <w:p w14:paraId="38255A02" w14:textId="46E00825" w:rsidR="00AC2E72" w:rsidRDefault="00AC2E72" w:rsidP="00AC2E72">
            <w:pPr>
              <w:pStyle w:val="BodyText2"/>
              <w:ind w:left="0"/>
            </w:pPr>
            <w:r>
              <w:t xml:space="preserve">Ongoing - LAP 19 is scheduled 16-17 April </w:t>
            </w:r>
          </w:p>
          <w:p w14:paraId="053DDB45" w14:textId="77777777" w:rsidR="00AC2E72" w:rsidRDefault="00AC2E72" w:rsidP="00AC2E72">
            <w:pPr>
              <w:pStyle w:val="BodyText"/>
            </w:pPr>
          </w:p>
        </w:tc>
      </w:tr>
      <w:tr w:rsidR="00AC2E72" w14:paraId="301C587C" w14:textId="77777777" w:rsidTr="00D652C3">
        <w:tc>
          <w:tcPr>
            <w:tcW w:w="709" w:type="dxa"/>
          </w:tcPr>
          <w:p w14:paraId="76CFC5A9" w14:textId="4A7B5341" w:rsidR="00AC2E72" w:rsidRDefault="00AC2E72" w:rsidP="00AC2E72">
            <w:pPr>
              <w:pStyle w:val="BodyText"/>
            </w:pPr>
            <w:r>
              <w:t>17</w:t>
            </w:r>
          </w:p>
        </w:tc>
        <w:tc>
          <w:tcPr>
            <w:tcW w:w="6136" w:type="dxa"/>
          </w:tcPr>
          <w:p w14:paraId="1BDEEC51" w14:textId="5D84F42B" w:rsidR="00AC2E72" w:rsidRDefault="00AC2E72" w:rsidP="00AC2E72">
            <w:pPr>
              <w:pStyle w:val="BodyText"/>
            </w:pPr>
            <w:r>
              <w:t>The Committee secretaries to input their respective Committees with IALA reports on IMO MCSR5, MSC99 and Council 120.</w:t>
            </w:r>
          </w:p>
        </w:tc>
        <w:tc>
          <w:tcPr>
            <w:tcW w:w="3068" w:type="dxa"/>
          </w:tcPr>
          <w:p w14:paraId="521CA615" w14:textId="0BFACF34" w:rsidR="00AC2E72" w:rsidRDefault="00AC2E72" w:rsidP="00AC2E72">
            <w:pPr>
              <w:pStyle w:val="BodyText"/>
            </w:pPr>
            <w:r>
              <w:t>Complete</w:t>
            </w:r>
          </w:p>
        </w:tc>
      </w:tr>
      <w:tr w:rsidR="00AC2E72" w14:paraId="0BE5888C" w14:textId="77777777" w:rsidTr="00D652C3">
        <w:tc>
          <w:tcPr>
            <w:tcW w:w="709" w:type="dxa"/>
          </w:tcPr>
          <w:p w14:paraId="62BF1837" w14:textId="7FB4150F" w:rsidR="00AC2E72" w:rsidRDefault="00AC2E72" w:rsidP="00AC2E72">
            <w:pPr>
              <w:pStyle w:val="BodyText"/>
            </w:pPr>
            <w:r>
              <w:t>18</w:t>
            </w:r>
          </w:p>
        </w:tc>
        <w:tc>
          <w:tcPr>
            <w:tcW w:w="6136" w:type="dxa"/>
          </w:tcPr>
          <w:p w14:paraId="5810D98F" w14:textId="5097EB1D" w:rsidR="00AC2E72" w:rsidRDefault="00AC2E72" w:rsidP="00AC2E72">
            <w:pPr>
              <w:pStyle w:val="BodyText"/>
            </w:pPr>
            <w:r>
              <w:t>Minsu Jeon as Technical Operations Manager should keep contact with PIANC and monitor the developments to ensure that there is no duplication with IALA work.</w:t>
            </w:r>
          </w:p>
        </w:tc>
        <w:tc>
          <w:tcPr>
            <w:tcW w:w="3068" w:type="dxa"/>
          </w:tcPr>
          <w:p w14:paraId="19772C27" w14:textId="13DB1BE0" w:rsidR="00AC2E72" w:rsidRDefault="00AC2E72" w:rsidP="00AC2E72">
            <w:pPr>
              <w:pStyle w:val="BodyText"/>
            </w:pPr>
            <w:r>
              <w:t>Complete</w:t>
            </w:r>
          </w:p>
        </w:tc>
      </w:tr>
      <w:tr w:rsidR="00AC2E72" w14:paraId="23F653AD" w14:textId="77777777" w:rsidTr="00D652C3">
        <w:tc>
          <w:tcPr>
            <w:tcW w:w="709" w:type="dxa"/>
          </w:tcPr>
          <w:p w14:paraId="5AAF4186" w14:textId="3BF4DE1A" w:rsidR="00AC2E72" w:rsidRDefault="00AC2E72" w:rsidP="00AC2E72">
            <w:pPr>
              <w:pStyle w:val="BodyText"/>
            </w:pPr>
            <w:r>
              <w:t>19</w:t>
            </w:r>
          </w:p>
        </w:tc>
        <w:tc>
          <w:tcPr>
            <w:tcW w:w="6136" w:type="dxa"/>
          </w:tcPr>
          <w:p w14:paraId="1071A96B" w14:textId="6F239B0A" w:rsidR="00AC2E72" w:rsidRDefault="00AC2E72" w:rsidP="00AC2E72">
            <w:pPr>
              <w:pStyle w:val="BodyText"/>
            </w:pPr>
            <w:r>
              <w:t>ENG Committee should request its participants to send DGNSS updates to the Secretariat.</w:t>
            </w:r>
          </w:p>
        </w:tc>
        <w:tc>
          <w:tcPr>
            <w:tcW w:w="3068" w:type="dxa"/>
          </w:tcPr>
          <w:p w14:paraId="737D2B62" w14:textId="4848892D" w:rsidR="00AC2E72" w:rsidRDefault="00AC2E72" w:rsidP="00AC2E72">
            <w:pPr>
              <w:pStyle w:val="BodyText"/>
            </w:pPr>
            <w:r w:rsidRPr="516A2C2D">
              <w:t>Complete</w:t>
            </w:r>
          </w:p>
        </w:tc>
      </w:tr>
      <w:tr w:rsidR="00AC2E72" w14:paraId="65A47CD6" w14:textId="77777777" w:rsidTr="00D652C3">
        <w:tc>
          <w:tcPr>
            <w:tcW w:w="709" w:type="dxa"/>
          </w:tcPr>
          <w:p w14:paraId="4A3D2EA2" w14:textId="72560A29" w:rsidR="00AC2E72" w:rsidRDefault="00AC2E72" w:rsidP="00AC2E72">
            <w:pPr>
              <w:pStyle w:val="BodyText"/>
            </w:pPr>
            <w:r>
              <w:t>20</w:t>
            </w:r>
          </w:p>
        </w:tc>
        <w:tc>
          <w:tcPr>
            <w:tcW w:w="6136" w:type="dxa"/>
          </w:tcPr>
          <w:p w14:paraId="2832E467" w14:textId="43FFB0DD" w:rsidR="00AC2E72" w:rsidRDefault="00AC2E72" w:rsidP="00AC2E72">
            <w:pPr>
              <w:pStyle w:val="BodyText"/>
            </w:pPr>
            <w:r>
              <w:t>The ARM Committee should identify solutions for the future use of DGNSS stations</w:t>
            </w:r>
          </w:p>
        </w:tc>
        <w:tc>
          <w:tcPr>
            <w:tcW w:w="3068" w:type="dxa"/>
          </w:tcPr>
          <w:p w14:paraId="43711E4E" w14:textId="6615E790" w:rsidR="00AC2E72" w:rsidRDefault="00AC2E72" w:rsidP="00AC2E72">
            <w:pPr>
              <w:pStyle w:val="BodyText"/>
            </w:pPr>
            <w:r>
              <w:rPr>
                <w:lang w:eastAsia="de-DE"/>
              </w:rPr>
              <w:t xml:space="preserve">Ongoing - </w:t>
            </w:r>
            <w:r w:rsidRPr="00A722FF">
              <w:rPr>
                <w:lang w:eastAsia="de-DE"/>
              </w:rPr>
              <w:t>Work on this task is planned to begin at ARM10.</w:t>
            </w:r>
          </w:p>
        </w:tc>
      </w:tr>
      <w:tr w:rsidR="00AC2E72" w14:paraId="2026EC44" w14:textId="77777777" w:rsidTr="00D652C3">
        <w:tc>
          <w:tcPr>
            <w:tcW w:w="709" w:type="dxa"/>
          </w:tcPr>
          <w:p w14:paraId="0C9DD9A3" w14:textId="10429F82" w:rsidR="00AC2E72" w:rsidRDefault="00AC2E72" w:rsidP="00AC2E72">
            <w:pPr>
              <w:pStyle w:val="BodyText"/>
            </w:pPr>
            <w:r>
              <w:t>21</w:t>
            </w:r>
          </w:p>
        </w:tc>
        <w:tc>
          <w:tcPr>
            <w:tcW w:w="6136" w:type="dxa"/>
          </w:tcPr>
          <w:p w14:paraId="1EB3073A" w14:textId="4330ED38" w:rsidR="00AC2E72" w:rsidRDefault="00AC2E72" w:rsidP="00AC2E72">
            <w:pPr>
              <w:pStyle w:val="BodyText"/>
            </w:pPr>
            <w:r>
              <w:t xml:space="preserve">The ENG Committee should review recommendation R-150 - </w:t>
            </w:r>
            <w:r w:rsidRPr="00312A26">
              <w:t xml:space="preserve">DGNSS Service </w:t>
            </w:r>
            <w:r>
              <w:t>Provision, U</w:t>
            </w:r>
            <w:r w:rsidRPr="00312A26">
              <w:t>pgrades</w:t>
            </w:r>
            <w:r>
              <w:t xml:space="preserve"> and Future U</w:t>
            </w:r>
            <w:r w:rsidRPr="00312A26">
              <w:t>ses</w:t>
            </w:r>
            <w:r>
              <w:t xml:space="preserve">, after </w:t>
            </w:r>
            <w:r>
              <w:lastRenderedPageBreak/>
              <w:t>solutions for such future uses have been identified by the ARM Committee.</w:t>
            </w:r>
          </w:p>
        </w:tc>
        <w:tc>
          <w:tcPr>
            <w:tcW w:w="3068" w:type="dxa"/>
          </w:tcPr>
          <w:p w14:paraId="5528FAB6" w14:textId="21C36D4C" w:rsidR="00AC2E72" w:rsidRDefault="00AC2E72" w:rsidP="00AC2E72">
            <w:pPr>
              <w:pStyle w:val="BodyText"/>
            </w:pPr>
            <w:r>
              <w:rPr>
                <w:lang w:eastAsia="de-DE"/>
              </w:rPr>
              <w:lastRenderedPageBreak/>
              <w:t>Ongoing - ARM Committee will commence work on this task at ARM10.  Following th</w:t>
            </w:r>
            <w:r w:rsidR="003B5993">
              <w:rPr>
                <w:lang w:eastAsia="de-DE"/>
              </w:rPr>
              <w:t>i</w:t>
            </w:r>
            <w:r>
              <w:rPr>
                <w:lang w:eastAsia="de-DE"/>
              </w:rPr>
              <w:t xml:space="preserve">s the ENG </w:t>
            </w:r>
            <w:r>
              <w:rPr>
                <w:lang w:eastAsia="de-DE"/>
              </w:rPr>
              <w:lastRenderedPageBreak/>
              <w:t>Committee can proceed with its work.</w:t>
            </w:r>
          </w:p>
        </w:tc>
      </w:tr>
      <w:tr w:rsidR="00AC2E72" w14:paraId="10486EE0" w14:textId="77777777" w:rsidTr="00D652C3">
        <w:tc>
          <w:tcPr>
            <w:tcW w:w="709" w:type="dxa"/>
          </w:tcPr>
          <w:p w14:paraId="664403EE" w14:textId="45D23D40" w:rsidR="00AC2E72" w:rsidRDefault="00AC2E72" w:rsidP="00AC2E72">
            <w:pPr>
              <w:pStyle w:val="BodyText"/>
            </w:pPr>
            <w:r>
              <w:lastRenderedPageBreak/>
              <w:t>22</w:t>
            </w:r>
          </w:p>
        </w:tc>
        <w:tc>
          <w:tcPr>
            <w:tcW w:w="6136" w:type="dxa"/>
          </w:tcPr>
          <w:p w14:paraId="5A57AD6E" w14:textId="47095C81" w:rsidR="00AC2E72" w:rsidRDefault="00AC2E72" w:rsidP="00AC2E72">
            <w:pPr>
              <w:pStyle w:val="BodyText"/>
            </w:pPr>
            <w:r>
              <w:t>The Secretariat to plan for a separate PAP37 Agenda item for manuals updating coordination.</w:t>
            </w:r>
          </w:p>
        </w:tc>
        <w:tc>
          <w:tcPr>
            <w:tcW w:w="3068" w:type="dxa"/>
          </w:tcPr>
          <w:p w14:paraId="70A54B58" w14:textId="55404F67" w:rsidR="00AC2E72" w:rsidRDefault="00AC2E72" w:rsidP="00AC2E72">
            <w:pPr>
              <w:pStyle w:val="BodyText"/>
            </w:pPr>
            <w:r>
              <w:t>Complete – Agenda Item No. 4.11.3 and 4.11.4</w:t>
            </w:r>
          </w:p>
        </w:tc>
      </w:tr>
      <w:tr w:rsidR="00AC2E72" w14:paraId="2D4DE4D4" w14:textId="77777777" w:rsidTr="00D652C3">
        <w:tc>
          <w:tcPr>
            <w:tcW w:w="709" w:type="dxa"/>
          </w:tcPr>
          <w:p w14:paraId="42FEFC7B" w14:textId="2050710F" w:rsidR="00AC2E72" w:rsidRDefault="00AC2E72" w:rsidP="00AC2E72">
            <w:pPr>
              <w:pStyle w:val="BodyText"/>
            </w:pPr>
            <w:r>
              <w:t>23</w:t>
            </w:r>
          </w:p>
        </w:tc>
        <w:tc>
          <w:tcPr>
            <w:tcW w:w="6136" w:type="dxa"/>
          </w:tcPr>
          <w:p w14:paraId="4B28E5D5" w14:textId="4D2E8E90" w:rsidR="00AC2E72" w:rsidRDefault="00AC2E72" w:rsidP="00AC2E72">
            <w:pPr>
              <w:pStyle w:val="BodyText"/>
            </w:pPr>
            <w:r>
              <w:t xml:space="preserve">The Committees are requested to </w:t>
            </w:r>
            <w:r w:rsidRPr="008221B0">
              <w:t>assign coordinator of the chapters</w:t>
            </w:r>
            <w:r>
              <w:t xml:space="preserve"> and inform the secretariat</w:t>
            </w:r>
            <w:r w:rsidRPr="008221B0">
              <w:t>.</w:t>
            </w:r>
          </w:p>
        </w:tc>
        <w:tc>
          <w:tcPr>
            <w:tcW w:w="3068" w:type="dxa"/>
          </w:tcPr>
          <w:p w14:paraId="7B05EC79" w14:textId="0F1DCC05" w:rsidR="00AC2E72" w:rsidRDefault="00AC2E72" w:rsidP="00AC2E72">
            <w:pPr>
              <w:pStyle w:val="BodyText"/>
            </w:pPr>
            <w:r>
              <w:t>Ongoing - To be discussed under PAP37 Agenda Item No. 4.11.3 and 4.11.4</w:t>
            </w:r>
          </w:p>
        </w:tc>
      </w:tr>
      <w:tr w:rsidR="00AC2E72" w14:paraId="3949621C" w14:textId="77777777" w:rsidTr="00D652C3">
        <w:tc>
          <w:tcPr>
            <w:tcW w:w="709" w:type="dxa"/>
          </w:tcPr>
          <w:p w14:paraId="1203FFA3" w14:textId="4F458D36" w:rsidR="00AC2E72" w:rsidRDefault="00AC2E72" w:rsidP="00AC2E72">
            <w:pPr>
              <w:pStyle w:val="BodyText"/>
            </w:pPr>
            <w:r>
              <w:t>24</w:t>
            </w:r>
          </w:p>
        </w:tc>
        <w:tc>
          <w:tcPr>
            <w:tcW w:w="6136" w:type="dxa"/>
          </w:tcPr>
          <w:p w14:paraId="3E72D812" w14:textId="0E201204" w:rsidR="00AC2E72" w:rsidRDefault="00AC2E72" w:rsidP="00AC2E72">
            <w:pPr>
              <w:pStyle w:val="BodyText"/>
            </w:pPr>
            <w:r>
              <w:t>The ENG Committee in cooperation with Minsu Jeon should establish a sustainability working group to consider how IALA can contribute the UN Sustainable Development Goals.</w:t>
            </w:r>
          </w:p>
        </w:tc>
        <w:tc>
          <w:tcPr>
            <w:tcW w:w="3068" w:type="dxa"/>
          </w:tcPr>
          <w:p w14:paraId="56D80BCB" w14:textId="5529B9F3" w:rsidR="00AC2E72" w:rsidRDefault="00AC2E72" w:rsidP="00AC2E72">
            <w:pPr>
              <w:pStyle w:val="BodyText"/>
            </w:pPr>
            <w:r>
              <w:t>Complete - To be discussed under Agenda Item 4.11.5</w:t>
            </w:r>
          </w:p>
        </w:tc>
      </w:tr>
      <w:tr w:rsidR="00AC2E72" w14:paraId="49D4EF51" w14:textId="77777777" w:rsidTr="00D652C3">
        <w:tc>
          <w:tcPr>
            <w:tcW w:w="709" w:type="dxa"/>
          </w:tcPr>
          <w:p w14:paraId="55E59502" w14:textId="08EDDE82" w:rsidR="00AC2E72" w:rsidRDefault="00AC2E72" w:rsidP="00AC2E72">
            <w:pPr>
              <w:pStyle w:val="BodyText"/>
            </w:pPr>
            <w:r>
              <w:t>25</w:t>
            </w:r>
          </w:p>
        </w:tc>
        <w:tc>
          <w:tcPr>
            <w:tcW w:w="6136" w:type="dxa"/>
          </w:tcPr>
          <w:p w14:paraId="639257C0" w14:textId="7F5FE5E9" w:rsidR="00AC2E72" w:rsidRDefault="00AC2E72" w:rsidP="00AC2E72">
            <w:pPr>
              <w:pStyle w:val="BodyText"/>
            </w:pPr>
            <w:r>
              <w:t>The Secretariat should revise the Committee procedure keeping a four week notice for input papers and adding that acceptance of papers after the deadline will be at the discretion of the Chair.</w:t>
            </w:r>
          </w:p>
        </w:tc>
        <w:tc>
          <w:tcPr>
            <w:tcW w:w="3068" w:type="dxa"/>
          </w:tcPr>
          <w:p w14:paraId="003D46E2" w14:textId="168B1131" w:rsidR="00AC2E72" w:rsidRDefault="00AC2E72" w:rsidP="00AC2E72">
            <w:pPr>
              <w:pStyle w:val="BodyText"/>
            </w:pPr>
            <w:r>
              <w:t>Complete - Noted and website / invitations amended.</w:t>
            </w:r>
          </w:p>
        </w:tc>
      </w:tr>
      <w:tr w:rsidR="00AC2E72" w14:paraId="0A825470" w14:textId="77777777" w:rsidTr="00D652C3">
        <w:tc>
          <w:tcPr>
            <w:tcW w:w="709" w:type="dxa"/>
          </w:tcPr>
          <w:p w14:paraId="0862B168" w14:textId="44EE0CC0" w:rsidR="00AC2E72" w:rsidRDefault="00AC2E72" w:rsidP="00AC2E72">
            <w:pPr>
              <w:pStyle w:val="BodyText"/>
            </w:pPr>
            <w:r>
              <w:t>26</w:t>
            </w:r>
          </w:p>
        </w:tc>
        <w:tc>
          <w:tcPr>
            <w:tcW w:w="6136" w:type="dxa"/>
          </w:tcPr>
          <w:p w14:paraId="4D3CA2C5" w14:textId="1D042045" w:rsidR="00AC2E72" w:rsidRDefault="00AC2E72" w:rsidP="00AC2E72">
            <w:pPr>
              <w:pStyle w:val="BodyText"/>
            </w:pPr>
            <w:r>
              <w:t>The Secretary-General should develop advice for the Committee Chairs after having consulted a lawyer on the possible impact of the European law on the dissemination of private data on the Committee participants’ lists.</w:t>
            </w:r>
          </w:p>
        </w:tc>
        <w:tc>
          <w:tcPr>
            <w:tcW w:w="3068" w:type="dxa"/>
          </w:tcPr>
          <w:p w14:paraId="41FB1F0F" w14:textId="77777777" w:rsidR="00AC2E72" w:rsidRDefault="003B5993" w:rsidP="00AC2E72">
            <w:pPr>
              <w:pStyle w:val="BodyText"/>
            </w:pPr>
            <w:r>
              <w:t xml:space="preserve">Complete - </w:t>
            </w:r>
            <w:r w:rsidR="00AC2E72">
              <w:t xml:space="preserve">Committee </w:t>
            </w:r>
            <w:r>
              <w:t>S</w:t>
            </w:r>
            <w:r w:rsidR="00AC2E72">
              <w:t>ecretary provided the following statement concerning GDPR at the beginning of each committee ‘</w:t>
            </w:r>
            <w:r w:rsidR="00AC2E72" w:rsidRPr="00AC2E72">
              <w:t>IALA has a policy regarding compliance with the General Data Protection Regulations. IALA will include a list of participants with their contact information in the report of this meeting. Any participant who wishes to</w:t>
            </w:r>
            <w:r w:rsidR="00AC2E72">
              <w:t xml:space="preserve"> </w:t>
            </w:r>
            <w:r w:rsidR="00AC2E72" w:rsidRPr="00AC2E72">
              <w:t>remove their information from the participants list should advise the Committee Secretary as soon as possible’ T</w:t>
            </w:r>
            <w:r w:rsidR="00AC2E72">
              <w:t>his report was to be also recorded in Committee report.</w:t>
            </w:r>
            <w:r w:rsidR="00415166">
              <w:t xml:space="preserve"> </w:t>
            </w:r>
          </w:p>
          <w:p w14:paraId="2A3D3E0D" w14:textId="50018FA4" w:rsidR="00A12CE0" w:rsidRDefault="00A12CE0" w:rsidP="00AC2E72">
            <w:pPr>
              <w:pStyle w:val="BodyText"/>
            </w:pPr>
            <w:r>
              <w:t xml:space="preserve">IALA has a specific policy regarding this matter as part of </w:t>
            </w:r>
            <w:r w:rsidR="00095C63">
              <w:t>its</w:t>
            </w:r>
            <w:r>
              <w:t xml:space="preserve"> staff procedures.</w:t>
            </w:r>
          </w:p>
        </w:tc>
      </w:tr>
    </w:tbl>
    <w:p w14:paraId="3C0FDD74" w14:textId="3CCC4A23" w:rsidR="002E7740" w:rsidRDefault="002E7740" w:rsidP="003A4E95">
      <w:pPr>
        <w:pStyle w:val="BodyText"/>
      </w:pPr>
    </w:p>
    <w:p w14:paraId="1011892E" w14:textId="77777777" w:rsidR="00BB7FF6" w:rsidRDefault="00EB73C8" w:rsidP="00EB73C8">
      <w:pPr>
        <w:pStyle w:val="Heading1"/>
      </w:pPr>
      <w:r>
        <w:t>Action Items from Council 68</w:t>
      </w:r>
    </w:p>
    <w:tbl>
      <w:tblPr>
        <w:tblStyle w:val="TableGrid"/>
        <w:tblW w:w="9913" w:type="dxa"/>
        <w:tblInd w:w="-5" w:type="dxa"/>
        <w:tblBorders>
          <w:top w:val="single" w:sz="4" w:space="0" w:color="00558C"/>
          <w:left w:val="single" w:sz="4" w:space="0" w:color="00558C"/>
          <w:bottom w:val="single" w:sz="4" w:space="0" w:color="00558C"/>
          <w:right w:val="single" w:sz="4" w:space="0" w:color="00558C"/>
          <w:insideH w:val="single" w:sz="4" w:space="0" w:color="00558C"/>
          <w:insideV w:val="single" w:sz="4" w:space="0" w:color="00558C"/>
        </w:tblBorders>
        <w:tblLook w:val="04A0" w:firstRow="1" w:lastRow="0" w:firstColumn="1" w:lastColumn="0" w:noHBand="0" w:noVBand="1"/>
      </w:tblPr>
      <w:tblGrid>
        <w:gridCol w:w="709"/>
        <w:gridCol w:w="6136"/>
        <w:gridCol w:w="3068"/>
      </w:tblGrid>
      <w:tr w:rsidR="00BB7FF6" w:rsidRPr="00D652C3" w14:paraId="1B434CBB" w14:textId="77777777" w:rsidTr="002463CF">
        <w:tc>
          <w:tcPr>
            <w:tcW w:w="709" w:type="dxa"/>
          </w:tcPr>
          <w:p w14:paraId="0BC85CE4" w14:textId="77777777" w:rsidR="00BB7FF6" w:rsidRPr="00D652C3" w:rsidRDefault="00BB7FF6" w:rsidP="002463CF">
            <w:pPr>
              <w:pStyle w:val="BodyText"/>
              <w:rPr>
                <w:b/>
                <w:color w:val="00558C"/>
              </w:rPr>
            </w:pPr>
            <w:r w:rsidRPr="00D652C3">
              <w:rPr>
                <w:b/>
                <w:color w:val="00558C"/>
              </w:rPr>
              <w:t>No.</w:t>
            </w:r>
          </w:p>
        </w:tc>
        <w:tc>
          <w:tcPr>
            <w:tcW w:w="6136" w:type="dxa"/>
          </w:tcPr>
          <w:p w14:paraId="20A04CA1" w14:textId="7FE35568" w:rsidR="00BB7FF6" w:rsidRPr="00D652C3" w:rsidRDefault="00BB7FF6" w:rsidP="002463CF">
            <w:pPr>
              <w:pStyle w:val="BodyText"/>
              <w:rPr>
                <w:b/>
                <w:color w:val="00558C"/>
              </w:rPr>
            </w:pPr>
            <w:r w:rsidRPr="00D652C3">
              <w:rPr>
                <w:b/>
                <w:color w:val="00558C"/>
              </w:rPr>
              <w:t xml:space="preserve">Action </w:t>
            </w:r>
            <w:r>
              <w:rPr>
                <w:b/>
                <w:color w:val="00558C"/>
              </w:rPr>
              <w:t>I</w:t>
            </w:r>
            <w:r w:rsidRPr="00D652C3">
              <w:rPr>
                <w:b/>
                <w:color w:val="00558C"/>
              </w:rPr>
              <w:t>tem</w:t>
            </w:r>
          </w:p>
        </w:tc>
        <w:tc>
          <w:tcPr>
            <w:tcW w:w="3068" w:type="dxa"/>
          </w:tcPr>
          <w:p w14:paraId="40A88000" w14:textId="77777777" w:rsidR="00BB7FF6" w:rsidRPr="00D652C3" w:rsidRDefault="00BB7FF6" w:rsidP="002463CF">
            <w:pPr>
              <w:pStyle w:val="BodyText"/>
              <w:rPr>
                <w:b/>
                <w:color w:val="00558C"/>
              </w:rPr>
            </w:pPr>
            <w:r w:rsidRPr="00D652C3">
              <w:rPr>
                <w:b/>
                <w:color w:val="00558C"/>
              </w:rPr>
              <w:t>Status</w:t>
            </w:r>
          </w:p>
        </w:tc>
      </w:tr>
      <w:tr w:rsidR="00EB73C8" w14:paraId="6793D850" w14:textId="77777777" w:rsidTr="002463CF">
        <w:tc>
          <w:tcPr>
            <w:tcW w:w="709" w:type="dxa"/>
          </w:tcPr>
          <w:p w14:paraId="1BE689F1" w14:textId="77777777" w:rsidR="00EB73C8" w:rsidRDefault="00EB73C8" w:rsidP="00EB73C8">
            <w:pPr>
              <w:pStyle w:val="BodyText"/>
            </w:pPr>
          </w:p>
        </w:tc>
        <w:tc>
          <w:tcPr>
            <w:tcW w:w="6136" w:type="dxa"/>
          </w:tcPr>
          <w:p w14:paraId="7646ACBA" w14:textId="2EBE2815" w:rsidR="00EB73C8" w:rsidRDefault="00EB73C8" w:rsidP="00EB73C8">
            <w:pPr>
              <w:pStyle w:val="BodyText"/>
            </w:pPr>
            <w:r w:rsidRPr="007323D1">
              <w:t xml:space="preserve">The Secretariat should send PAP the draft Position on the Development of </w:t>
            </w:r>
            <w:proofErr w:type="spellStart"/>
            <w:r w:rsidRPr="007323D1">
              <w:t>AtoN</w:t>
            </w:r>
            <w:proofErr w:type="spellEnd"/>
            <w:r w:rsidRPr="007323D1">
              <w:t xml:space="preserve"> Services, amended according to the remarks made at Council on training and certification, to look deeper into GNSS backups in the light of the comments on </w:t>
            </w:r>
            <w:proofErr w:type="spellStart"/>
            <w:r w:rsidRPr="007323D1">
              <w:t>radionavigation</w:t>
            </w:r>
            <w:proofErr w:type="spellEnd"/>
            <w:r w:rsidRPr="007323D1">
              <w:t xml:space="preserve"> services, send to the Committees (especially the ENG Committee) and brought it back to Council in June 2019 after the draft amended by the Committees has been endorsed by PAP by correspondence.</w:t>
            </w:r>
          </w:p>
        </w:tc>
        <w:tc>
          <w:tcPr>
            <w:tcW w:w="3068" w:type="dxa"/>
          </w:tcPr>
          <w:p w14:paraId="105D5508" w14:textId="03383650" w:rsidR="00EB73C8" w:rsidRDefault="003B5993" w:rsidP="00EB73C8">
            <w:pPr>
              <w:pStyle w:val="BodyText"/>
            </w:pPr>
            <w:r>
              <w:t xml:space="preserve">Ongoing - </w:t>
            </w:r>
            <w:r w:rsidR="00EB73C8">
              <w:t xml:space="preserve">The </w:t>
            </w:r>
            <w:r w:rsidR="00EB73C8" w:rsidRPr="007323D1">
              <w:rPr>
                <w:i/>
              </w:rPr>
              <w:t xml:space="preserve">Position on the Development of </w:t>
            </w:r>
            <w:proofErr w:type="spellStart"/>
            <w:r w:rsidR="00EB73C8" w:rsidRPr="007323D1">
              <w:rPr>
                <w:i/>
              </w:rPr>
              <w:t>AtoN</w:t>
            </w:r>
            <w:proofErr w:type="spellEnd"/>
            <w:r w:rsidR="00EB73C8" w:rsidRPr="007323D1">
              <w:rPr>
                <w:i/>
              </w:rPr>
              <w:t xml:space="preserve"> Services</w:t>
            </w:r>
            <w:r w:rsidR="00EB73C8">
              <w:rPr>
                <w:i/>
              </w:rPr>
              <w:t xml:space="preserve"> </w:t>
            </w:r>
            <w:r w:rsidR="00EB73C8">
              <w:t>has been submitted as input</w:t>
            </w:r>
            <w:r w:rsidR="004F724A">
              <w:t xml:space="preserve">. </w:t>
            </w:r>
            <w:r w:rsidR="00EB73C8">
              <w:t xml:space="preserve">It will discussed under agenda item 5.1.1 </w:t>
            </w:r>
            <w:r w:rsidR="004F724A">
              <w:t>along with comments from ENG.</w:t>
            </w:r>
          </w:p>
        </w:tc>
      </w:tr>
    </w:tbl>
    <w:p w14:paraId="79867217" w14:textId="77777777" w:rsidR="00EB73C8" w:rsidRDefault="00EB73C8" w:rsidP="00EB73C8">
      <w:pPr>
        <w:pStyle w:val="Heading1"/>
        <w:numPr>
          <w:ilvl w:val="0"/>
          <w:numId w:val="0"/>
        </w:numPr>
      </w:pPr>
    </w:p>
    <w:p w14:paraId="16771C34" w14:textId="77777777" w:rsidR="00BB7FF6" w:rsidRDefault="000430BA" w:rsidP="000430BA">
      <w:pPr>
        <w:pStyle w:val="Heading1"/>
      </w:pPr>
      <w:r>
        <w:t>Action Items from ARM 8</w:t>
      </w:r>
    </w:p>
    <w:tbl>
      <w:tblPr>
        <w:tblStyle w:val="TableGrid"/>
        <w:tblW w:w="9913" w:type="dxa"/>
        <w:tblInd w:w="-5" w:type="dxa"/>
        <w:tblLook w:val="04A0" w:firstRow="1" w:lastRow="0" w:firstColumn="1" w:lastColumn="0" w:noHBand="0" w:noVBand="1"/>
      </w:tblPr>
      <w:tblGrid>
        <w:gridCol w:w="709"/>
        <w:gridCol w:w="6136"/>
        <w:gridCol w:w="3068"/>
      </w:tblGrid>
      <w:tr w:rsidR="00BB7FF6" w:rsidRPr="00D652C3" w14:paraId="0AC173B8" w14:textId="77777777" w:rsidTr="00BB7FF6">
        <w:tc>
          <w:tcPr>
            <w:tcW w:w="709" w:type="dxa"/>
          </w:tcPr>
          <w:p w14:paraId="7281C39D" w14:textId="77777777" w:rsidR="00BB7FF6" w:rsidRPr="00D652C3" w:rsidRDefault="00BB7FF6" w:rsidP="002463CF">
            <w:pPr>
              <w:pStyle w:val="BodyText"/>
              <w:rPr>
                <w:b/>
                <w:color w:val="00558C"/>
              </w:rPr>
            </w:pPr>
            <w:r w:rsidRPr="00D652C3">
              <w:rPr>
                <w:b/>
                <w:color w:val="00558C"/>
              </w:rPr>
              <w:t>No.</w:t>
            </w:r>
          </w:p>
        </w:tc>
        <w:tc>
          <w:tcPr>
            <w:tcW w:w="6136" w:type="dxa"/>
          </w:tcPr>
          <w:p w14:paraId="773A5E3C" w14:textId="2F8EE9F3" w:rsidR="00BB7FF6" w:rsidRPr="00D652C3" w:rsidRDefault="00BB7FF6" w:rsidP="002463CF">
            <w:pPr>
              <w:pStyle w:val="BodyText"/>
              <w:rPr>
                <w:b/>
                <w:color w:val="00558C"/>
              </w:rPr>
            </w:pPr>
            <w:r w:rsidRPr="00D652C3">
              <w:rPr>
                <w:b/>
                <w:color w:val="00558C"/>
              </w:rPr>
              <w:t xml:space="preserve">Action </w:t>
            </w:r>
            <w:r>
              <w:rPr>
                <w:b/>
                <w:color w:val="00558C"/>
              </w:rPr>
              <w:t>I</w:t>
            </w:r>
            <w:r w:rsidRPr="00D652C3">
              <w:rPr>
                <w:b/>
                <w:color w:val="00558C"/>
              </w:rPr>
              <w:t>tem</w:t>
            </w:r>
          </w:p>
        </w:tc>
        <w:tc>
          <w:tcPr>
            <w:tcW w:w="3068" w:type="dxa"/>
          </w:tcPr>
          <w:p w14:paraId="153E1BE9" w14:textId="77777777" w:rsidR="00BB7FF6" w:rsidRPr="00D652C3" w:rsidRDefault="00BB7FF6" w:rsidP="002463CF">
            <w:pPr>
              <w:pStyle w:val="BodyText"/>
              <w:rPr>
                <w:b/>
                <w:color w:val="00558C"/>
              </w:rPr>
            </w:pPr>
            <w:r w:rsidRPr="00D652C3">
              <w:rPr>
                <w:b/>
                <w:color w:val="00558C"/>
              </w:rPr>
              <w:t>Status</w:t>
            </w:r>
          </w:p>
        </w:tc>
      </w:tr>
      <w:tr w:rsidR="00EB73C8" w14:paraId="728A4ABB" w14:textId="77777777" w:rsidTr="00BB7FF6">
        <w:tblPrEx>
          <w:tblBorders>
            <w:top w:val="single" w:sz="4" w:space="0" w:color="00558C"/>
            <w:left w:val="single" w:sz="4" w:space="0" w:color="00558C"/>
            <w:bottom w:val="single" w:sz="4" w:space="0" w:color="00558C"/>
            <w:right w:val="single" w:sz="4" w:space="0" w:color="00558C"/>
            <w:insideH w:val="single" w:sz="4" w:space="0" w:color="00558C"/>
            <w:insideV w:val="single" w:sz="4" w:space="0" w:color="00558C"/>
          </w:tblBorders>
        </w:tblPrEx>
        <w:tc>
          <w:tcPr>
            <w:tcW w:w="709" w:type="dxa"/>
          </w:tcPr>
          <w:p w14:paraId="665D0A52" w14:textId="70B4C33F" w:rsidR="00EB73C8" w:rsidRDefault="00EB73C8" w:rsidP="00EB73C8">
            <w:pPr>
              <w:pStyle w:val="BodyText"/>
            </w:pPr>
          </w:p>
        </w:tc>
        <w:tc>
          <w:tcPr>
            <w:tcW w:w="6136" w:type="dxa"/>
          </w:tcPr>
          <w:p w14:paraId="17EB5429" w14:textId="77777777" w:rsidR="00EB73C8" w:rsidRDefault="00EB73C8" w:rsidP="00EB73C8">
            <w:pPr>
              <w:pStyle w:val="BodyText2"/>
              <w:ind w:left="0"/>
            </w:pPr>
            <w:r>
              <w:t>The IALA Secretariat is requested to send output document ARM8-12.1.9 to Council to approve the proposed workshop on cyber security and to PAP37 to discuss the date of the workshop.</w:t>
            </w:r>
          </w:p>
          <w:p w14:paraId="1A61DD4F" w14:textId="3145C95E" w:rsidR="00EB73C8" w:rsidRDefault="00EB73C8" w:rsidP="00EB73C8">
            <w:pPr>
              <w:pStyle w:val="BodyText"/>
            </w:pPr>
          </w:p>
        </w:tc>
        <w:tc>
          <w:tcPr>
            <w:tcW w:w="3068" w:type="dxa"/>
          </w:tcPr>
          <w:p w14:paraId="3773DA4B" w14:textId="670A4500" w:rsidR="00EB73C8" w:rsidRDefault="003B5993" w:rsidP="00EB73C8">
            <w:pPr>
              <w:pStyle w:val="BodyText"/>
            </w:pPr>
            <w:r>
              <w:t xml:space="preserve">Complete - </w:t>
            </w:r>
            <w:r w:rsidR="00EB73C8">
              <w:t>Council 68 approved the event and will now be discussed at PAP 37 under agenda item 4.10.6</w:t>
            </w:r>
          </w:p>
        </w:tc>
      </w:tr>
    </w:tbl>
    <w:p w14:paraId="02AFCC22" w14:textId="328CA633" w:rsidR="000430BA" w:rsidRDefault="000430BA" w:rsidP="003A4E95">
      <w:pPr>
        <w:pStyle w:val="BodyText"/>
      </w:pPr>
    </w:p>
    <w:p w14:paraId="190F662A" w14:textId="77777777" w:rsidR="00BB7FF6" w:rsidRDefault="000430BA" w:rsidP="000430BA">
      <w:pPr>
        <w:pStyle w:val="Heading1"/>
      </w:pPr>
      <w:r>
        <w:t>Action Items from eng 8</w:t>
      </w:r>
    </w:p>
    <w:tbl>
      <w:tblPr>
        <w:tblStyle w:val="TableGrid"/>
        <w:tblW w:w="9913" w:type="dxa"/>
        <w:tblInd w:w="-5" w:type="dxa"/>
        <w:tblLook w:val="04A0" w:firstRow="1" w:lastRow="0" w:firstColumn="1" w:lastColumn="0" w:noHBand="0" w:noVBand="1"/>
      </w:tblPr>
      <w:tblGrid>
        <w:gridCol w:w="709"/>
        <w:gridCol w:w="6136"/>
        <w:gridCol w:w="3068"/>
      </w:tblGrid>
      <w:tr w:rsidR="00BB7FF6" w:rsidRPr="00D652C3" w14:paraId="20440E30" w14:textId="77777777" w:rsidTr="00BB7FF6">
        <w:tc>
          <w:tcPr>
            <w:tcW w:w="709" w:type="dxa"/>
          </w:tcPr>
          <w:p w14:paraId="7ECF1F9D" w14:textId="77777777" w:rsidR="00BB7FF6" w:rsidRPr="00D652C3" w:rsidRDefault="00BB7FF6" w:rsidP="002463CF">
            <w:pPr>
              <w:pStyle w:val="BodyText"/>
              <w:rPr>
                <w:b/>
                <w:color w:val="00558C"/>
              </w:rPr>
            </w:pPr>
            <w:r w:rsidRPr="00D652C3">
              <w:rPr>
                <w:b/>
                <w:color w:val="00558C"/>
              </w:rPr>
              <w:t>No.</w:t>
            </w:r>
          </w:p>
        </w:tc>
        <w:tc>
          <w:tcPr>
            <w:tcW w:w="6136" w:type="dxa"/>
          </w:tcPr>
          <w:p w14:paraId="6AFCB960" w14:textId="18B1DB7B" w:rsidR="00BB7FF6" w:rsidRPr="00D652C3" w:rsidRDefault="00BB7FF6" w:rsidP="002463CF">
            <w:pPr>
              <w:pStyle w:val="BodyText"/>
              <w:rPr>
                <w:b/>
                <w:color w:val="00558C"/>
              </w:rPr>
            </w:pPr>
            <w:r w:rsidRPr="00D652C3">
              <w:rPr>
                <w:b/>
                <w:color w:val="00558C"/>
              </w:rPr>
              <w:t xml:space="preserve">Action </w:t>
            </w:r>
            <w:r>
              <w:rPr>
                <w:b/>
                <w:color w:val="00558C"/>
              </w:rPr>
              <w:t>I</w:t>
            </w:r>
            <w:r w:rsidRPr="00D652C3">
              <w:rPr>
                <w:b/>
                <w:color w:val="00558C"/>
              </w:rPr>
              <w:t>tem</w:t>
            </w:r>
          </w:p>
        </w:tc>
        <w:tc>
          <w:tcPr>
            <w:tcW w:w="3068" w:type="dxa"/>
          </w:tcPr>
          <w:p w14:paraId="7C609514" w14:textId="77777777" w:rsidR="00BB7FF6" w:rsidRPr="00D652C3" w:rsidRDefault="00BB7FF6" w:rsidP="002463CF">
            <w:pPr>
              <w:pStyle w:val="BodyText"/>
              <w:rPr>
                <w:b/>
                <w:color w:val="00558C"/>
              </w:rPr>
            </w:pPr>
            <w:r w:rsidRPr="00D652C3">
              <w:rPr>
                <w:b/>
                <w:color w:val="00558C"/>
              </w:rPr>
              <w:t>Status</w:t>
            </w:r>
          </w:p>
        </w:tc>
      </w:tr>
      <w:tr w:rsidR="00EB73C8" w14:paraId="166C8DDF" w14:textId="77777777" w:rsidTr="00BB7FF6">
        <w:tblPrEx>
          <w:tblBorders>
            <w:top w:val="single" w:sz="4" w:space="0" w:color="00558C"/>
            <w:left w:val="single" w:sz="4" w:space="0" w:color="00558C"/>
            <w:bottom w:val="single" w:sz="4" w:space="0" w:color="00558C"/>
            <w:right w:val="single" w:sz="4" w:space="0" w:color="00558C"/>
            <w:insideH w:val="single" w:sz="4" w:space="0" w:color="00558C"/>
            <w:insideV w:val="single" w:sz="4" w:space="0" w:color="00558C"/>
          </w:tblBorders>
        </w:tblPrEx>
        <w:tc>
          <w:tcPr>
            <w:tcW w:w="709" w:type="dxa"/>
          </w:tcPr>
          <w:p w14:paraId="73BD7EDE" w14:textId="77777777" w:rsidR="00EB73C8" w:rsidRDefault="00EB73C8" w:rsidP="00EB73C8">
            <w:pPr>
              <w:pStyle w:val="BodyText"/>
            </w:pPr>
          </w:p>
        </w:tc>
        <w:tc>
          <w:tcPr>
            <w:tcW w:w="6136" w:type="dxa"/>
          </w:tcPr>
          <w:p w14:paraId="47B8F652" w14:textId="2D473867" w:rsidR="00EB73C8" w:rsidRDefault="00EB73C8" w:rsidP="00EB73C8">
            <w:pPr>
              <w:pStyle w:val="BodyText"/>
            </w:pPr>
            <w:r>
              <w:t xml:space="preserve">IALA Secretariat is requested to forward ENG8-12.1.26, proposed amendments on IALA Position on the development of </w:t>
            </w:r>
            <w:proofErr w:type="spellStart"/>
            <w:r>
              <w:t>AtoN</w:t>
            </w:r>
            <w:proofErr w:type="spellEnd"/>
            <w:r>
              <w:t xml:space="preserve"> services, to PAP for consideration.</w:t>
            </w:r>
          </w:p>
        </w:tc>
        <w:tc>
          <w:tcPr>
            <w:tcW w:w="3068" w:type="dxa"/>
          </w:tcPr>
          <w:p w14:paraId="1DCE8261" w14:textId="07464230" w:rsidR="00EB73C8" w:rsidRDefault="003B5993" w:rsidP="00EB73C8">
            <w:pPr>
              <w:pStyle w:val="BodyText"/>
            </w:pPr>
            <w:r>
              <w:t xml:space="preserve">Complete - </w:t>
            </w:r>
            <w:r w:rsidR="00EB73C8">
              <w:t>Provided as input to PAP 37 and will be discussed under agenda item 5.1.1</w:t>
            </w:r>
          </w:p>
        </w:tc>
      </w:tr>
    </w:tbl>
    <w:p w14:paraId="58D0B390" w14:textId="5BDD3477" w:rsidR="000430BA" w:rsidRDefault="000430BA" w:rsidP="003A4E95">
      <w:pPr>
        <w:pStyle w:val="BodyText"/>
      </w:pPr>
    </w:p>
    <w:p w14:paraId="2FF27354" w14:textId="77777777" w:rsidR="00BB7FF6" w:rsidRDefault="000430BA" w:rsidP="000430BA">
      <w:pPr>
        <w:pStyle w:val="Heading1"/>
      </w:pPr>
      <w:r>
        <w:t>Action Items from enav</w:t>
      </w:r>
      <w:r w:rsidR="00EB73C8">
        <w:t xml:space="preserve"> 22</w:t>
      </w:r>
    </w:p>
    <w:tbl>
      <w:tblPr>
        <w:tblStyle w:val="TableGrid"/>
        <w:tblW w:w="9913" w:type="dxa"/>
        <w:tblInd w:w="-5" w:type="dxa"/>
        <w:tblLook w:val="04A0" w:firstRow="1" w:lastRow="0" w:firstColumn="1" w:lastColumn="0" w:noHBand="0" w:noVBand="1"/>
      </w:tblPr>
      <w:tblGrid>
        <w:gridCol w:w="709"/>
        <w:gridCol w:w="6136"/>
        <w:gridCol w:w="3068"/>
      </w:tblGrid>
      <w:tr w:rsidR="00BB7FF6" w:rsidRPr="00D652C3" w14:paraId="29BCF746" w14:textId="77777777" w:rsidTr="00BB7FF6">
        <w:tc>
          <w:tcPr>
            <w:tcW w:w="709" w:type="dxa"/>
          </w:tcPr>
          <w:p w14:paraId="033F345D" w14:textId="77777777" w:rsidR="00BB7FF6" w:rsidRPr="00D652C3" w:rsidRDefault="00BB7FF6" w:rsidP="002463CF">
            <w:pPr>
              <w:pStyle w:val="BodyText"/>
              <w:rPr>
                <w:b/>
                <w:color w:val="00558C"/>
              </w:rPr>
            </w:pPr>
            <w:r w:rsidRPr="00D652C3">
              <w:rPr>
                <w:b/>
                <w:color w:val="00558C"/>
              </w:rPr>
              <w:t>No.</w:t>
            </w:r>
          </w:p>
        </w:tc>
        <w:tc>
          <w:tcPr>
            <w:tcW w:w="6136" w:type="dxa"/>
          </w:tcPr>
          <w:p w14:paraId="2AC874E8" w14:textId="59868834" w:rsidR="00BB7FF6" w:rsidRPr="00D652C3" w:rsidRDefault="00BB7FF6" w:rsidP="002463CF">
            <w:pPr>
              <w:pStyle w:val="BodyText"/>
              <w:rPr>
                <w:b/>
                <w:color w:val="00558C"/>
              </w:rPr>
            </w:pPr>
            <w:r w:rsidRPr="00D652C3">
              <w:rPr>
                <w:b/>
                <w:color w:val="00558C"/>
              </w:rPr>
              <w:t xml:space="preserve">Action </w:t>
            </w:r>
            <w:r>
              <w:rPr>
                <w:b/>
                <w:color w:val="00558C"/>
              </w:rPr>
              <w:t>I</w:t>
            </w:r>
            <w:r w:rsidRPr="00D652C3">
              <w:rPr>
                <w:b/>
                <w:color w:val="00558C"/>
              </w:rPr>
              <w:t>tem</w:t>
            </w:r>
          </w:p>
        </w:tc>
        <w:tc>
          <w:tcPr>
            <w:tcW w:w="3068" w:type="dxa"/>
          </w:tcPr>
          <w:p w14:paraId="6739A6B2" w14:textId="77777777" w:rsidR="00BB7FF6" w:rsidRPr="00D652C3" w:rsidRDefault="00BB7FF6" w:rsidP="002463CF">
            <w:pPr>
              <w:pStyle w:val="BodyText"/>
              <w:rPr>
                <w:b/>
                <w:color w:val="00558C"/>
              </w:rPr>
            </w:pPr>
            <w:r w:rsidRPr="00D652C3">
              <w:rPr>
                <w:b/>
                <w:color w:val="00558C"/>
              </w:rPr>
              <w:t>Status</w:t>
            </w:r>
          </w:p>
        </w:tc>
      </w:tr>
      <w:tr w:rsidR="00EB73C8" w14:paraId="67A45AAC" w14:textId="77777777" w:rsidTr="00BB7FF6">
        <w:tblPrEx>
          <w:tblBorders>
            <w:top w:val="single" w:sz="4" w:space="0" w:color="00558C"/>
            <w:left w:val="single" w:sz="4" w:space="0" w:color="00558C"/>
            <w:bottom w:val="single" w:sz="4" w:space="0" w:color="00558C"/>
            <w:right w:val="single" w:sz="4" w:space="0" w:color="00558C"/>
            <w:insideH w:val="single" w:sz="4" w:space="0" w:color="00558C"/>
            <w:insideV w:val="single" w:sz="4" w:space="0" w:color="00558C"/>
          </w:tblBorders>
        </w:tblPrEx>
        <w:tc>
          <w:tcPr>
            <w:tcW w:w="709" w:type="dxa"/>
          </w:tcPr>
          <w:p w14:paraId="20FEF09A" w14:textId="77777777" w:rsidR="00EB73C8" w:rsidRDefault="00EB73C8" w:rsidP="00EB73C8">
            <w:pPr>
              <w:pStyle w:val="BodyText"/>
            </w:pPr>
          </w:p>
        </w:tc>
        <w:tc>
          <w:tcPr>
            <w:tcW w:w="6136" w:type="dxa"/>
          </w:tcPr>
          <w:p w14:paraId="0D76F2E7" w14:textId="77777777" w:rsidR="00EB73C8" w:rsidRDefault="00EB73C8" w:rsidP="00EB73C8">
            <w:pPr>
              <w:pStyle w:val="BodyText2"/>
              <w:numPr>
                <w:ilvl w:val="0"/>
                <w:numId w:val="35"/>
              </w:numPr>
            </w:pPr>
            <w:r>
              <w:t>The Committee Secretary is requested to retain the Terms of Reference for WG1 on Digital Information System within the Committee, for future reference and forward to PAP to note (ENAV22-11.2).</w:t>
            </w:r>
          </w:p>
          <w:p w14:paraId="6F61026F" w14:textId="77777777" w:rsidR="00EB73C8" w:rsidRDefault="00EB73C8" w:rsidP="00EB73C8">
            <w:pPr>
              <w:pStyle w:val="BodyText"/>
            </w:pPr>
          </w:p>
        </w:tc>
        <w:tc>
          <w:tcPr>
            <w:tcW w:w="3068" w:type="dxa"/>
          </w:tcPr>
          <w:p w14:paraId="77A748E4" w14:textId="76C725EE" w:rsidR="00EB73C8" w:rsidRDefault="003B5993" w:rsidP="00EB73C8">
            <w:pPr>
              <w:pStyle w:val="BodyText"/>
            </w:pPr>
            <w:r>
              <w:t>Complete – Moved to the partage for transfer to the e-nav file share / input.</w:t>
            </w:r>
          </w:p>
        </w:tc>
      </w:tr>
      <w:tr w:rsidR="00EB73C8" w14:paraId="27467012" w14:textId="77777777" w:rsidTr="00BB7FF6">
        <w:tblPrEx>
          <w:tblBorders>
            <w:top w:val="single" w:sz="4" w:space="0" w:color="00558C"/>
            <w:left w:val="single" w:sz="4" w:space="0" w:color="00558C"/>
            <w:bottom w:val="single" w:sz="4" w:space="0" w:color="00558C"/>
            <w:right w:val="single" w:sz="4" w:space="0" w:color="00558C"/>
            <w:insideH w:val="single" w:sz="4" w:space="0" w:color="00558C"/>
            <w:insideV w:val="single" w:sz="4" w:space="0" w:color="00558C"/>
          </w:tblBorders>
        </w:tblPrEx>
        <w:tc>
          <w:tcPr>
            <w:tcW w:w="709" w:type="dxa"/>
          </w:tcPr>
          <w:p w14:paraId="27375E77" w14:textId="77777777" w:rsidR="00EB73C8" w:rsidRDefault="00EB73C8" w:rsidP="00EB73C8">
            <w:pPr>
              <w:pStyle w:val="BodyText"/>
            </w:pPr>
          </w:p>
        </w:tc>
        <w:tc>
          <w:tcPr>
            <w:tcW w:w="6136" w:type="dxa"/>
          </w:tcPr>
          <w:p w14:paraId="27513062" w14:textId="77777777" w:rsidR="00EB73C8" w:rsidRDefault="00EB73C8" w:rsidP="00EB73C8">
            <w:pPr>
              <w:pStyle w:val="BodyText2"/>
              <w:numPr>
                <w:ilvl w:val="0"/>
                <w:numId w:val="35"/>
              </w:numPr>
            </w:pPr>
            <w:r>
              <w:t>The Committee Secretary is requested to forward the liaison note to PAP regarding the Terms of Reference from the WG’s for consideration (ENAV22-1.16.18).</w:t>
            </w:r>
          </w:p>
          <w:p w14:paraId="122FB6E0" w14:textId="77777777" w:rsidR="00EB73C8" w:rsidRDefault="00EB73C8" w:rsidP="00EB73C8">
            <w:pPr>
              <w:pStyle w:val="BodyText"/>
            </w:pPr>
          </w:p>
        </w:tc>
        <w:tc>
          <w:tcPr>
            <w:tcW w:w="3068" w:type="dxa"/>
          </w:tcPr>
          <w:p w14:paraId="4B877954" w14:textId="63AA6EBB" w:rsidR="00EB73C8" w:rsidRDefault="003B5993" w:rsidP="00EB73C8">
            <w:pPr>
              <w:pStyle w:val="BodyText"/>
            </w:pPr>
            <w:r>
              <w:t xml:space="preserve">Complete - </w:t>
            </w:r>
            <w:r w:rsidR="00EB73C8">
              <w:t>All documents from ENAV provided as input to PAP 37 and will be discussed under agenda item 4.9.2</w:t>
            </w:r>
          </w:p>
        </w:tc>
      </w:tr>
    </w:tbl>
    <w:p w14:paraId="50328FEC" w14:textId="77777777" w:rsidR="000430BA" w:rsidRPr="00816F0E" w:rsidRDefault="000430BA" w:rsidP="003A4E95">
      <w:pPr>
        <w:pStyle w:val="BodyText"/>
      </w:pPr>
    </w:p>
    <w:sectPr w:rsidR="000430BA" w:rsidRPr="00816F0E" w:rsidSect="006A78D5">
      <w:headerReference w:type="even" r:id="rId8"/>
      <w:headerReference w:type="default" r:id="rId9"/>
      <w:footerReference w:type="even" r:id="rId10"/>
      <w:footerReference w:type="default" r:id="rId11"/>
      <w:headerReference w:type="first" r:id="rId12"/>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28399" w14:textId="77777777" w:rsidR="003C174B" w:rsidRDefault="003C174B" w:rsidP="00362CD9">
      <w:r>
        <w:separator/>
      </w:r>
    </w:p>
  </w:endnote>
  <w:endnote w:type="continuationSeparator" w:id="0">
    <w:p w14:paraId="0A2108E8" w14:textId="77777777" w:rsidR="003C174B" w:rsidRDefault="003C174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2">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279AB" w14:textId="55DEB15E" w:rsidR="00CE63B2" w:rsidRDefault="00CE63B2" w:rsidP="00CE63B2">
    <w:pPr>
      <w:pStyle w:val="Footer"/>
      <w:jc w:val="center"/>
    </w:pPr>
    <w:r>
      <w:rPr>
        <w:rFonts w:asciiTheme="majorHAnsi" w:eastAsiaTheme="majorEastAsia" w:hAnsiTheme="majorHAnsi" w:cstheme="majorBidi"/>
        <w:noProof/>
        <w:lang w:val="fr-FR" w:eastAsia="fr-FR"/>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D61FE8" w:rsidRPr="00D61FE8">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" fillcolor="#40618b" stroked="f">
              <v:textbo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D61FE8" w:rsidRPr="00D61FE8">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lang w:val="fr-FR" w:eastAsia="fr-FR"/>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D61FE8" w:rsidRPr="00D61FE8">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A1BFA9"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" fillcolor="#40618b" stroked="f">
                      <v:textbo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D61FE8" w:rsidRPr="00D61FE8">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91655" w14:textId="77777777" w:rsidR="003C174B" w:rsidRDefault="003C174B" w:rsidP="00362CD9">
      <w:r>
        <w:separator/>
      </w:r>
    </w:p>
  </w:footnote>
  <w:footnote w:type="continuationSeparator" w:id="0">
    <w:p w14:paraId="0ADDE843" w14:textId="77777777" w:rsidR="003C174B" w:rsidRDefault="003C174B"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21CF6998" w:rsidR="007C346C" w:rsidRDefault="006A78D5" w:rsidP="006A78D5">
    <w:pPr>
      <w:pStyle w:val="Header"/>
      <w:tabs>
        <w:tab w:val="clear" w:pos="9639"/>
        <w:tab w:val="right" w:pos="5954"/>
      </w:tabs>
      <w:spacing w:after="240"/>
    </w:pPr>
    <w:r>
      <w:rPr>
        <w:rFonts w:ascii="Calibri" w:hAnsi="Calibri"/>
        <w:noProof/>
        <w:lang w:val="fr-FR" w:eastAsia="fr-FR"/>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PAP36</w:t>
    </w:r>
    <w:r w:rsidR="00B56B31">
      <w:rPr>
        <w:rFonts w:ascii="Calibri" w:hAnsi="Calibri"/>
      </w:rPr>
      <w:t>-3.1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617BE26E" w:rsidR="007C346C" w:rsidRDefault="006A78D5" w:rsidP="006A78D5">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782D7F">
      <w:rPr>
        <w:rFonts w:ascii="Calibri" w:hAnsi="Calibri"/>
      </w:rPr>
      <w:t>PAP37</w:t>
    </w:r>
    <w:r w:rsidR="00B04683">
      <w:rPr>
        <w:rFonts w:ascii="Calibri" w:hAnsi="Calibri"/>
      </w:rPr>
      <w:t>-</w:t>
    </w:r>
    <w:r w:rsidR="00063260">
      <w:rPr>
        <w:rFonts w:ascii="Calibri" w:hAnsi="Calibri"/>
      </w:rPr>
      <w:t>1.5.1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3C4F1" w14:textId="5D6DC651" w:rsidR="007C346C" w:rsidRDefault="00484701" w:rsidP="00717A6A">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482D6C"/>
    <w:multiLevelType w:val="hybridMultilevel"/>
    <w:tmpl w:val="9190A8B2"/>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D270A4F"/>
    <w:multiLevelType w:val="hybridMultilevel"/>
    <w:tmpl w:val="48B00C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3DA33D8"/>
    <w:multiLevelType w:val="multilevel"/>
    <w:tmpl w:val="DE70FB7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5"/>
  </w:num>
  <w:num w:numId="3">
    <w:abstractNumId w:val="2"/>
  </w:num>
  <w:num w:numId="4">
    <w:abstractNumId w:val="24"/>
  </w:num>
  <w:num w:numId="5">
    <w:abstractNumId w:val="11"/>
  </w:num>
  <w:num w:numId="6">
    <w:abstractNumId w:val="8"/>
  </w:num>
  <w:num w:numId="7">
    <w:abstractNumId w:val="18"/>
  </w:num>
  <w:num w:numId="8">
    <w:abstractNumId w:val="17"/>
  </w:num>
  <w:num w:numId="9">
    <w:abstractNumId w:val="23"/>
  </w:num>
  <w:num w:numId="10">
    <w:abstractNumId w:val="6"/>
  </w:num>
  <w:num w:numId="11">
    <w:abstractNumId w:val="20"/>
  </w:num>
  <w:num w:numId="12">
    <w:abstractNumId w:val="13"/>
  </w:num>
  <w:num w:numId="13">
    <w:abstractNumId w:val="12"/>
  </w:num>
  <w:num w:numId="14">
    <w:abstractNumId w:val="4"/>
  </w:num>
  <w:num w:numId="15">
    <w:abstractNumId w:val="14"/>
  </w:num>
  <w:num w:numId="16">
    <w:abstractNumId w:val="0"/>
  </w:num>
  <w:num w:numId="17">
    <w:abstractNumId w:val="22"/>
  </w:num>
  <w:num w:numId="18">
    <w:abstractNumId w:val="5"/>
  </w:num>
  <w:num w:numId="19">
    <w:abstractNumId w:val="9"/>
  </w:num>
  <w:num w:numId="20">
    <w:abstractNumId w:val="3"/>
  </w:num>
  <w:num w:numId="21">
    <w:abstractNumId w:val="7"/>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0"/>
  </w:num>
  <w:num w:numId="29">
    <w:abstractNumId w:val="4"/>
  </w:num>
  <w:num w:numId="30">
    <w:abstractNumId w:val="1"/>
  </w:num>
  <w:num w:numId="31">
    <w:abstractNumId w:val="4"/>
  </w:num>
  <w:num w:numId="32">
    <w:abstractNumId w:val="4"/>
  </w:num>
  <w:num w:numId="33">
    <w:abstractNumId w:val="25"/>
  </w:num>
  <w:num w:numId="34">
    <w:abstractNumId w:val="19"/>
  </w:num>
  <w:num w:numId="35">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B9E"/>
    <w:rsid w:val="00037DF4"/>
    <w:rsid w:val="000430BA"/>
    <w:rsid w:val="0004700E"/>
    <w:rsid w:val="000524C6"/>
    <w:rsid w:val="00062A4E"/>
    <w:rsid w:val="00063260"/>
    <w:rsid w:val="00070C13"/>
    <w:rsid w:val="000715C9"/>
    <w:rsid w:val="000730BC"/>
    <w:rsid w:val="000800D4"/>
    <w:rsid w:val="000806F5"/>
    <w:rsid w:val="00084F33"/>
    <w:rsid w:val="000904DC"/>
    <w:rsid w:val="00093C8F"/>
    <w:rsid w:val="00095C63"/>
    <w:rsid w:val="000A1C2F"/>
    <w:rsid w:val="000A77A7"/>
    <w:rsid w:val="000B1707"/>
    <w:rsid w:val="000C1B3E"/>
    <w:rsid w:val="0010119B"/>
    <w:rsid w:val="00110AE7"/>
    <w:rsid w:val="00154D83"/>
    <w:rsid w:val="00177F4D"/>
    <w:rsid w:val="00180DDA"/>
    <w:rsid w:val="001922CE"/>
    <w:rsid w:val="001B2A2D"/>
    <w:rsid w:val="001B737D"/>
    <w:rsid w:val="001C44A3"/>
    <w:rsid w:val="001E0E15"/>
    <w:rsid w:val="001F528A"/>
    <w:rsid w:val="001F704E"/>
    <w:rsid w:val="00201722"/>
    <w:rsid w:val="002125B0"/>
    <w:rsid w:val="0022229D"/>
    <w:rsid w:val="0022401E"/>
    <w:rsid w:val="00235B69"/>
    <w:rsid w:val="00243228"/>
    <w:rsid w:val="00251483"/>
    <w:rsid w:val="00255CAA"/>
    <w:rsid w:val="00263248"/>
    <w:rsid w:val="00264305"/>
    <w:rsid w:val="00287859"/>
    <w:rsid w:val="002A0346"/>
    <w:rsid w:val="002A4487"/>
    <w:rsid w:val="002B49E9"/>
    <w:rsid w:val="002C632E"/>
    <w:rsid w:val="002D3E8B"/>
    <w:rsid w:val="002D4575"/>
    <w:rsid w:val="002D5C0C"/>
    <w:rsid w:val="002E03D1"/>
    <w:rsid w:val="002E6B74"/>
    <w:rsid w:val="002E6FCA"/>
    <w:rsid w:val="002E7740"/>
    <w:rsid w:val="00343F4C"/>
    <w:rsid w:val="00356CD0"/>
    <w:rsid w:val="00362CD9"/>
    <w:rsid w:val="00364C58"/>
    <w:rsid w:val="003761CA"/>
    <w:rsid w:val="00380DAF"/>
    <w:rsid w:val="00392E07"/>
    <w:rsid w:val="00395336"/>
    <w:rsid w:val="003972CE"/>
    <w:rsid w:val="003A4E95"/>
    <w:rsid w:val="003B28F5"/>
    <w:rsid w:val="003B5993"/>
    <w:rsid w:val="003B7B7D"/>
    <w:rsid w:val="003C174B"/>
    <w:rsid w:val="003C54CB"/>
    <w:rsid w:val="003C7A2A"/>
    <w:rsid w:val="003D2DC1"/>
    <w:rsid w:val="003D69D0"/>
    <w:rsid w:val="003E6583"/>
    <w:rsid w:val="003F2918"/>
    <w:rsid w:val="003F430E"/>
    <w:rsid w:val="00400C64"/>
    <w:rsid w:val="0041088C"/>
    <w:rsid w:val="00415166"/>
    <w:rsid w:val="00417AD5"/>
    <w:rsid w:val="00420A38"/>
    <w:rsid w:val="00423C27"/>
    <w:rsid w:val="00431B19"/>
    <w:rsid w:val="0044054E"/>
    <w:rsid w:val="004661AD"/>
    <w:rsid w:val="00476A3D"/>
    <w:rsid w:val="00480C49"/>
    <w:rsid w:val="00484701"/>
    <w:rsid w:val="00493978"/>
    <w:rsid w:val="004D1D85"/>
    <w:rsid w:val="004D3C3A"/>
    <w:rsid w:val="004D6B41"/>
    <w:rsid w:val="004E1CD1"/>
    <w:rsid w:val="004F5E28"/>
    <w:rsid w:val="004F724A"/>
    <w:rsid w:val="00502E73"/>
    <w:rsid w:val="00506325"/>
    <w:rsid w:val="005107EB"/>
    <w:rsid w:val="00521345"/>
    <w:rsid w:val="00526DF0"/>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7E20"/>
    <w:rsid w:val="00605E43"/>
    <w:rsid w:val="006153BB"/>
    <w:rsid w:val="00664A1A"/>
    <w:rsid w:val="006652C3"/>
    <w:rsid w:val="006878BF"/>
    <w:rsid w:val="0069154B"/>
    <w:rsid w:val="00691FD0"/>
    <w:rsid w:val="00692148"/>
    <w:rsid w:val="00694217"/>
    <w:rsid w:val="006A10AE"/>
    <w:rsid w:val="006A1A1E"/>
    <w:rsid w:val="006A5998"/>
    <w:rsid w:val="006A78D5"/>
    <w:rsid w:val="006C5948"/>
    <w:rsid w:val="006F2A74"/>
    <w:rsid w:val="007118F5"/>
    <w:rsid w:val="00712AA4"/>
    <w:rsid w:val="007146C4"/>
    <w:rsid w:val="00717A6A"/>
    <w:rsid w:val="00721AA1"/>
    <w:rsid w:val="00724B67"/>
    <w:rsid w:val="00732B2F"/>
    <w:rsid w:val="007547F8"/>
    <w:rsid w:val="00762ADD"/>
    <w:rsid w:val="00765622"/>
    <w:rsid w:val="00770B6C"/>
    <w:rsid w:val="0077644F"/>
    <w:rsid w:val="00782B6C"/>
    <w:rsid w:val="00782D7F"/>
    <w:rsid w:val="00783FEA"/>
    <w:rsid w:val="0079012D"/>
    <w:rsid w:val="007A395D"/>
    <w:rsid w:val="007A45C4"/>
    <w:rsid w:val="007A723A"/>
    <w:rsid w:val="007C346C"/>
    <w:rsid w:val="0080294B"/>
    <w:rsid w:val="00816F0E"/>
    <w:rsid w:val="008179D8"/>
    <w:rsid w:val="00821222"/>
    <w:rsid w:val="0082480E"/>
    <w:rsid w:val="00850293"/>
    <w:rsid w:val="00851373"/>
    <w:rsid w:val="00851BA6"/>
    <w:rsid w:val="0085654D"/>
    <w:rsid w:val="008565D7"/>
    <w:rsid w:val="00857F73"/>
    <w:rsid w:val="00861160"/>
    <w:rsid w:val="0086654F"/>
    <w:rsid w:val="00890C0A"/>
    <w:rsid w:val="008A356F"/>
    <w:rsid w:val="008A4653"/>
    <w:rsid w:val="008A4717"/>
    <w:rsid w:val="008A50CC"/>
    <w:rsid w:val="008B2608"/>
    <w:rsid w:val="008B4798"/>
    <w:rsid w:val="008B71A4"/>
    <w:rsid w:val="008D1694"/>
    <w:rsid w:val="008D79CB"/>
    <w:rsid w:val="008F07BC"/>
    <w:rsid w:val="0092692B"/>
    <w:rsid w:val="00927B22"/>
    <w:rsid w:val="00943E9C"/>
    <w:rsid w:val="00952224"/>
    <w:rsid w:val="00953F4D"/>
    <w:rsid w:val="00960BB8"/>
    <w:rsid w:val="00964F5C"/>
    <w:rsid w:val="00976184"/>
    <w:rsid w:val="009831C0"/>
    <w:rsid w:val="0099161D"/>
    <w:rsid w:val="009A3528"/>
    <w:rsid w:val="009D1E1A"/>
    <w:rsid w:val="00A0389B"/>
    <w:rsid w:val="00A12CE0"/>
    <w:rsid w:val="00A33AE9"/>
    <w:rsid w:val="00A34B6F"/>
    <w:rsid w:val="00A425FE"/>
    <w:rsid w:val="00A446C9"/>
    <w:rsid w:val="00A44CC4"/>
    <w:rsid w:val="00A5265A"/>
    <w:rsid w:val="00A635D6"/>
    <w:rsid w:val="00A72837"/>
    <w:rsid w:val="00A8553A"/>
    <w:rsid w:val="00A93AED"/>
    <w:rsid w:val="00AA5F67"/>
    <w:rsid w:val="00AC2E72"/>
    <w:rsid w:val="00AE1319"/>
    <w:rsid w:val="00AE34BB"/>
    <w:rsid w:val="00AE4B71"/>
    <w:rsid w:val="00B04683"/>
    <w:rsid w:val="00B14187"/>
    <w:rsid w:val="00B171E3"/>
    <w:rsid w:val="00B226F2"/>
    <w:rsid w:val="00B274DF"/>
    <w:rsid w:val="00B37E69"/>
    <w:rsid w:val="00B41ED5"/>
    <w:rsid w:val="00B53A1B"/>
    <w:rsid w:val="00B56B31"/>
    <w:rsid w:val="00B56BDF"/>
    <w:rsid w:val="00B65812"/>
    <w:rsid w:val="00B8034B"/>
    <w:rsid w:val="00B805FE"/>
    <w:rsid w:val="00B85CD6"/>
    <w:rsid w:val="00B90A27"/>
    <w:rsid w:val="00B9554D"/>
    <w:rsid w:val="00B9620F"/>
    <w:rsid w:val="00B96497"/>
    <w:rsid w:val="00BB2B9F"/>
    <w:rsid w:val="00BB7D9E"/>
    <w:rsid w:val="00BB7FF6"/>
    <w:rsid w:val="00BC2334"/>
    <w:rsid w:val="00BD3CB8"/>
    <w:rsid w:val="00BD4E6F"/>
    <w:rsid w:val="00BF32F0"/>
    <w:rsid w:val="00BF4DCE"/>
    <w:rsid w:val="00C05CE5"/>
    <w:rsid w:val="00C0600A"/>
    <w:rsid w:val="00C21722"/>
    <w:rsid w:val="00C52FAC"/>
    <w:rsid w:val="00C6171E"/>
    <w:rsid w:val="00CA6F2C"/>
    <w:rsid w:val="00CE63B2"/>
    <w:rsid w:val="00CF1871"/>
    <w:rsid w:val="00D019CE"/>
    <w:rsid w:val="00D102D6"/>
    <w:rsid w:val="00D1133E"/>
    <w:rsid w:val="00D17A34"/>
    <w:rsid w:val="00D26628"/>
    <w:rsid w:val="00D332B3"/>
    <w:rsid w:val="00D55207"/>
    <w:rsid w:val="00D6023F"/>
    <w:rsid w:val="00D61FE8"/>
    <w:rsid w:val="00D65064"/>
    <w:rsid w:val="00D652C3"/>
    <w:rsid w:val="00D81801"/>
    <w:rsid w:val="00D91744"/>
    <w:rsid w:val="00D92B45"/>
    <w:rsid w:val="00D95962"/>
    <w:rsid w:val="00DA0E08"/>
    <w:rsid w:val="00DA3F35"/>
    <w:rsid w:val="00DB2DD9"/>
    <w:rsid w:val="00DC389B"/>
    <w:rsid w:val="00DC46DF"/>
    <w:rsid w:val="00DE2FEE"/>
    <w:rsid w:val="00E00BE9"/>
    <w:rsid w:val="00E16D73"/>
    <w:rsid w:val="00E22A11"/>
    <w:rsid w:val="00E31E5C"/>
    <w:rsid w:val="00E41CE7"/>
    <w:rsid w:val="00E44DD2"/>
    <w:rsid w:val="00E558C3"/>
    <w:rsid w:val="00E55927"/>
    <w:rsid w:val="00E912A6"/>
    <w:rsid w:val="00EA4844"/>
    <w:rsid w:val="00EA4D9C"/>
    <w:rsid w:val="00EA5A97"/>
    <w:rsid w:val="00EB73C8"/>
    <w:rsid w:val="00EB75EE"/>
    <w:rsid w:val="00EE4C1D"/>
    <w:rsid w:val="00EF3685"/>
    <w:rsid w:val="00F04350"/>
    <w:rsid w:val="00F133DB"/>
    <w:rsid w:val="00F159EB"/>
    <w:rsid w:val="00F22203"/>
    <w:rsid w:val="00F25BF4"/>
    <w:rsid w:val="00F267DB"/>
    <w:rsid w:val="00F46F6F"/>
    <w:rsid w:val="00F60608"/>
    <w:rsid w:val="00F62217"/>
    <w:rsid w:val="00F724DF"/>
    <w:rsid w:val="00F838F2"/>
    <w:rsid w:val="00FB17A9"/>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D5E3E991-30F8-4904-BCAD-515983A9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7FF6"/>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99"/>
    <w:qFormat/>
    <w:rsid w:val="003A4E95"/>
    <w:pPr>
      <w:spacing w:after="120"/>
      <w:jc w:val="both"/>
    </w:pPr>
    <w:rPr>
      <w:rFonts w:asciiTheme="minorHAnsi" w:hAnsiTheme="minorHAnsi"/>
    </w:rPr>
  </w:style>
  <w:style w:type="character" w:customStyle="1" w:styleId="BodyTextChar">
    <w:name w:val="Body Text Char"/>
    <w:link w:val="BodyText"/>
    <w:uiPriority w:val="99"/>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odyText2">
    <w:name w:val="Body Text 2"/>
    <w:basedOn w:val="Normal"/>
    <w:link w:val="BodyText2Char"/>
    <w:rsid w:val="00EB73C8"/>
    <w:pPr>
      <w:autoSpaceDE w:val="0"/>
      <w:autoSpaceDN w:val="0"/>
      <w:adjustRightInd w:val="0"/>
      <w:spacing w:before="180"/>
      <w:ind w:left="720"/>
    </w:pPr>
    <w:rPr>
      <w:rFonts w:asciiTheme="minorHAnsi" w:eastAsia="Times New Roman" w:hAnsiTheme="minorHAnsi" w:cs="Times New Roman"/>
      <w:color w:val="000000"/>
      <w:szCs w:val="24"/>
      <w:lang w:eastAsia="en-US"/>
    </w:rPr>
  </w:style>
  <w:style w:type="character" w:customStyle="1" w:styleId="BodyText2Char">
    <w:name w:val="Body Text 2 Char"/>
    <w:basedOn w:val="DefaultParagraphFont"/>
    <w:link w:val="BodyText2"/>
    <w:rsid w:val="00EB73C8"/>
    <w:rPr>
      <w:rFonts w:asciiTheme="minorHAnsi" w:eastAsia="Times New Roman" w:hAnsiTheme="minorHAnsi"/>
      <w:color w:val="00000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BF2D1-C9EA-4FBE-B654-BC6390F03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1215</Words>
  <Characters>6931</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6</cp:revision>
  <dcterms:created xsi:type="dcterms:W3CDTF">2019-02-11T13:52:00Z</dcterms:created>
  <dcterms:modified xsi:type="dcterms:W3CDTF">2019-02-11T15:28:00Z</dcterms:modified>
</cp:coreProperties>
</file>